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de metas y métricas GQM HyVAW a requisitos normativos y guías técnicas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Meta GQM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 / Indicador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Referencia técnica HyVAW / GQM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Referencia normativa NIS2 / ENISA / INCIBE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 de alineación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G1 Cobertura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M1.1 % sistemas esenciales con análisis híbrido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HyVAW: foco en sistemas distribuidos críticos y flujos híbridos [web:3][web:16]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NIS2: gestión de riesgos técnicos y medidas preventivas; ENISA: gestión de activos y medidas técnicas [web:18][web:23][web:36]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Mide el grado en que las entidades traducen obligaciones de evaluación de riesgos en análisis híbridos concretos.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G1 Cobertura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M1.2 Índice de cobertura de activos críticos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HyVAW: modelado de sistema y activos; necesidad de cobertura [web:3][web:16]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NIS2: inventario de activos y arquitectura; ENISA: evidencias de gestión de activos [web:23][web:36]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Conecta inventario NIS2 con aplicación real de análisis de vulnerabilidades.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G1 Cobertura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M1.3 Distribución sectorial/tamaño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HyVAW aplicado por sectores; enfoque por contexto [web:3][web:16]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NIS2: aplicación proporcional por sector y tamaño; informes INCIBE por sector [web:21][web:32][web:34]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Facilita políticas diferenciadas y priorización de apoyo regulatorio.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G2 Calidad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M2.1 Tasa de falsos positivos críticos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HyVAW y métodos híbridos: reducción de ruido como objetivo clave [web:8][web:24]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ENISA: efectividad de controles; NIS2: medidas técnicas “apropiadas y proporcionadas” [web:18][web:23][web:36]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Aporta evidencia de que no basta con “escaneos masivos”; mide calidad del proceso.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G2 Calidad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M2.2 % vulnerabilidades críticas confirmadas dinámicamente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HyVAW: integración estático/dinámico; validación [web:3][web:8][web:24]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NIS2: pruebas, auditorías y evaluaciones periódicas; ENISA: ejemplos de evidencias técnicas [web:23][web:36]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Demuestra profundidad de análisis, más allá de la detección superficial.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G2 Calidad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M2.3 Fases por vulnerabilidad confirmada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HyVAW: multi‑fase; enriquecimiento de análisis [web:3][web:16]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ENISA: combinación de medidas y controles; enfoque por capas [web:23][web:36]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Indicador de madurez del flujo de análisis, alineado con defensa en profundidad.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G3 Gestión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M3.1 TTR vulnerabilidades críticas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HyVAW: remediación y revalidación como cierre de ciclo [web:3][web:19]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NIS2: tratamiento de riesgos; plazos razonables de mitigación; guías ENISA sobre tiempos [web:18][web:23][web:36]; datos INCIBE sobre incidentes [web:32]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Métrica clásica de gestión de vulnerabilidades, esencial en supervisión.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G3 Gestión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M3.2 % cumplimiento plazos remediación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HyVAW y marcos de vulnerabilidades: SLAs de remediación [web:19]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NIS2: obligaciones de la alta dirección; medidas organizativas; ENISA: ejemplos de objetivos internos [web:23][web:33][web:36]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Enlaza el trabajo técnico con la accountability de la dirección.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G3 Gestión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M3.3 Incidentes por vulnerabilidad conocida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HyVAW: riesgo residual e incidentes; correlación [web:3][web:16]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NIS2: gestión de incidentes; lecciones aprendidas; informes INCIBE y ENISA Threat Landscape [web:31][web:32][web:34][web:36]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Métrica clave para evaluar la brecha entre saber y hacer.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G4 Valor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M4.1 Coste anual HyVAW por sistema esencial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HyVAW como conjunto de actividades específicas [web:3][web:19]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NIS2: proporcionalidad de medidas según riesgo y tamaño; ENISA: coste/beneficio implícito [web:18][web:23][web:36]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Informa análisis de proporcionalidad y planificación de recursos.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G4 Valor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M4.2 Reducción de incidentes significativos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HyVAW y otros controles; impacto agregado [web:3][web:19]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NIS2: objetivo de reducir incidentes graves; informes nacionales de incidentes (INCIBE) [web:32][web:34]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Mide efectividad global de la combinación de medidas, HyVAW incluido.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G4 Valor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M4.3 ROI HyVAW aproximado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HyVAW como inversión en resiliencia [web:3][web:19]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NIS2: decisión informada de la dirección sobre inversiones en seguridad [web:23][web:33][web:36]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Apoya decisiones estratégicas, aunque con márgenes de incertidumbre reconocidos.</w:t>
            </w:r>
          </w:p>
        </w:tc>
      </w:tr>
    </w:tbl>
    <w:p/>
    <w:p>
      <w:r>
        <w:t>Este mapeo permite explicar, ante supervisores y auditores, cómo cada métrica está alineada con obligaciones concretas de NIS2 y con las recomendaciones técnicas de ENISA, evitando que los indicadores queden como “inventos domésticos” sin respaldo normativo.[web:18][web:23][web:36][web:43][web:48]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