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Mapeo de preguntas de la Encuesta HyVAW a requisitos normativos y buenas prácticas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Nº pregunta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Tema principal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Referencia HyVAW / técnica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Referencia NIS2 / ENISA / INCIBE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 de alineación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1.1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Inventario de activos críticos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HyVAW, fase de modelado de sistema [web:3][web:16]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ENISA NIS2: gestión de activos [web:23][web:36]; INCIBE balance 2025 [web:32]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Base para cualquier análisis de riesgos y vulnerabilidades.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1.3–1.4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Modelos de amenazas y metodologías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HyVAW (STRIDE, CVSS, ADT integrados) [web:3][web:16]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NIS2: evaluación de riesgos técnicos, enfoque basado en riesgos [web:23][web:36]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Evalúa formalización del threat modeling exigido de facto por NIS2.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2.1–2.4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Flujo híbrido de análisis (estático, dinámico, etc.)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HyVAW; Hy2; métodos híbridos [web:3][web:8][web:24]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ENISA: medidas técnicas, pruebas y evaluaciones periódicas [web:23][web:36]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Determina el grado de adopción de enfoque híbrido recomendado.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3.1–3.4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Métricas de calidad: falsos positivos, cobertura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HyVAW, indicadores de calidad del análisis [web:3][web:8]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ENISA: evidencia de eficacia de medidas de seguridad [web:23][web:36]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Conecta análisis técnico con medición de efectividad requerida por NIS2.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4.2–4.4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Tiempos de remediación y priorización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Gestión de vulnerabilidades en HyVAW [web:3][web:19]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NIS2: tratamiento de riesgos, medidas técnicas y organizativas [web:23][web:36]; datos INCIBE [web:32]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Permite comparar tiempos con expectativas regulatorias y prácticas del sector.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5.1–5.4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Integración con NIS2 y guías ENISA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Uso de HyVAW como evidencia [web:3][web:16]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ENISA Technical Implementation Guidance [web:23][web:36]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Evalúa grado de interiorización del marco normativo en procesos técnicos.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6.1–6.3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Correlación vulnerabilidades–incidentes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HyVAW, evaluación de riesgo residual [web:3][web:16]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NIS2: gestión de incidentes, lecciones aprendidas [web:23][web:36]; INCIBE incidentes [web:32][web:34]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Clave para medir impacto real de la gestión de vulnerabilidades.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7.1–7.3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Inversión y ROI en análisis híbrido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HyVAW como inversión en resiliencia [web:3][web:19]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NIS2: proporcionalidad de medidas, responsabilidad de dirección [web:23][web:33][web:36]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Ofrece insumos para justificar recursos ante alta dirección y supervisores.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8.1–8.3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Horizonte temporal y barreras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Adopción progresiva de HyVAW [web:3][web:16]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ENISA: roadmap de madurez, ejercicios de estrés [web:31][web:36]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Facilita diseño de planes de acción nacionales y sectoriales.</w:t>
            </w:r>
          </w:p>
        </w:tc>
      </w:tr>
    </w:tbl>
    <w:p/>
    <w:p>
      <w:r>
        <w:rPr>
          <w:i/>
        </w:rPr>
        <w:t>(La tabla completa puede ampliarse con todas las preguntas y sub‑preguntas según se refine el cuestionario.)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