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para IGM y ROI HyVAW con trazabilidad GQM + PRAGMATIC</w:t>
      </w:r>
    </w:p>
    <w:p>
      <w:r>
        <w:t>Esta plantilla extiende la hoja de cálculo de IGM y ROI para incorporar explícitamente las metas GQM y las puntuaciones PRAGMATIC por métrica.[web:19][web:23][web:32][web:43][web:48]</w:t>
      </w:r>
    </w:p>
    <w:p>
      <w:pPr>
        <w:pStyle w:val="Heading2"/>
        <w:keepNext/>
        <w:keepLines/>
      </w:pPr>
      <w:r>
        <w:rPr>
          <w:color w:val="0066CC"/>
        </w:rPr>
        <w:t>1. Hojas recomendadas</w:t>
      </w:r>
    </w:p>
    <w:p>
      <w:pPr>
        <w:pStyle w:val="ListNumber"/>
        <w:keepLines w:val="1"/>
        <w:keepNext w:val="1"/>
        <w:widowControl w:val="1"/>
      </w:pPr>
      <w:r>
        <w:t xml:space="preserve">Catalogo_Metricas </w:t>
      </w:r>
    </w:p>
    <w:p>
      <w:pPr>
        <w:pStyle w:val="ListNumber"/>
        <w:keepLines w:val="1"/>
        <w:keepNext w:val="1"/>
        <w:widowControl w:val="1"/>
      </w:pPr>
      <w:r>
        <w:t>Listado de métricas HyVAW (M1.1–M4.3) con referencias GQM y normativas.</w:t>
      </w:r>
    </w:p>
    <w:p>
      <w:pPr>
        <w:pStyle w:val="ListNumber"/>
        <w:keepLines w:val="1"/>
        <w:keepNext w:val="1"/>
        <w:widowControl w:val="1"/>
      </w:pPr>
      <w:r>
        <w:t xml:space="preserve">Respuestas_Org </w:t>
      </w:r>
    </w:p>
    <w:p>
      <w:pPr>
        <w:pStyle w:val="ListNumber"/>
        <w:keepLines w:val="1"/>
        <w:keepNext w:val="1"/>
        <w:widowControl w:val="1"/>
      </w:pPr>
      <w:r>
        <w:t>Datos por organización (valores observados de cada métrica aplicable).</w:t>
      </w:r>
    </w:p>
    <w:p>
      <w:pPr>
        <w:pStyle w:val="ListNumber"/>
        <w:keepLines w:val="1"/>
        <w:keepNext w:val="1"/>
        <w:widowControl w:val="1"/>
      </w:pPr>
      <w:r>
        <w:t xml:space="preserve">PRAGMATIC </w:t>
      </w:r>
    </w:p>
    <w:p>
      <w:pPr>
        <w:pStyle w:val="ListNumber"/>
        <w:keepLines w:val="1"/>
        <w:keepNext w:val="1"/>
        <w:widowControl w:val="1"/>
      </w:pPr>
      <w:r>
        <w:t>Puntuaciones PRAGMATIC por métrica.</w:t>
      </w:r>
    </w:p>
    <w:p>
      <w:pPr>
        <w:pStyle w:val="ListNumber"/>
        <w:keepLines w:val="1"/>
        <w:keepNext w:val="1"/>
        <w:widowControl w:val="1"/>
      </w:pPr>
      <w:r>
        <w:t xml:space="preserve">Pesos_GQM </w:t>
      </w:r>
    </w:p>
    <w:p>
      <w:pPr>
        <w:pStyle w:val="ListNumber"/>
        <w:keepLines w:val="1"/>
        <w:keepNext w:val="1"/>
        <w:widowControl w:val="1"/>
      </w:pPr>
      <w:r>
        <w:t>Pesos por meta GQM (G1–G4) y por métrica dentro de cada meta.</w:t>
      </w:r>
    </w:p>
    <w:p>
      <w:pPr>
        <w:pStyle w:val="ListNumber"/>
        <w:keepLines w:val="1"/>
        <w:keepNext w:val="1"/>
        <w:widowControl w:val="1"/>
      </w:pPr>
      <w:r>
        <w:t xml:space="preserve">IGM </w:t>
      </w:r>
    </w:p>
    <w:p>
      <w:pPr>
        <w:pStyle w:val="ListNumber"/>
        <w:keepLines w:val="1"/>
        <w:keepNext w:val="1"/>
        <w:widowControl w:val="1"/>
      </w:pPr>
      <w:r>
        <w:t>Cálculo de índices parciales y Global de Madurez.</w:t>
      </w:r>
    </w:p>
    <w:p>
      <w:pPr>
        <w:pStyle w:val="ListNumber"/>
        <w:keepLines w:val="1"/>
        <w:keepNext w:val="1"/>
        <w:widowControl w:val="1"/>
      </w:pPr>
      <w:r>
        <w:t xml:space="preserve">ROI </w:t>
      </w:r>
    </w:p>
    <w:p>
      <w:pPr>
        <w:pStyle w:val="ListNumber"/>
        <w:keepLines w:val="1"/>
        <w:keepNext w:val="1"/>
        <w:widowControl w:val="1"/>
      </w:pPr>
      <w:r>
        <w:t>Cálculo de ROI HyVAW por organización.</w:t>
      </w:r>
    </w:p>
    <w:p>
      <w:pPr>
        <w:pStyle w:val="ListNumber"/>
        <w:keepLines w:val="1"/>
        <w:keepNext w:val="1"/>
        <w:widowControl w:val="1"/>
      </w:pPr>
      <w:r>
        <w:t xml:space="preserve">Diccionario </w:t>
      </w:r>
    </w:p>
    <w:p>
      <w:pPr>
        <w:pStyle w:val="ListNumber"/>
        <w:keepLines w:val="1"/>
        <w:widowControl w:val="1"/>
      </w:pPr>
      <w:r>
        <w:t>Descripción textual de cada campo y fórmula.[web:23][web:36]</w:t>
      </w:r>
    </w:p>
    <w:p>
      <w:pPr>
        <w:pStyle w:val="Heading2"/>
        <w:keepNext/>
        <w:keepLines/>
      </w:pPr>
      <w:r>
        <w:rPr>
          <w:color w:val="0066CC"/>
        </w:rPr>
        <w:t>2. Hoja Catalogo_Metricas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ID_Metrica (M1.1, M1.2, …, M4.3)</w:t>
      </w:r>
    </w:p>
    <w:p>
      <w:pPr>
        <w:pStyle w:val="ListBullet"/>
        <w:keepLines w:val="1"/>
        <w:keepNext w:val="1"/>
        <w:widowControl w:val="1"/>
      </w:pPr>
      <w:r>
        <w:t>Meta_GQM (G1, G2, G3, G4)</w:t>
      </w:r>
    </w:p>
    <w:p>
      <w:pPr>
        <w:pStyle w:val="ListBullet"/>
        <w:keepLines w:val="1"/>
        <w:keepNext w:val="1"/>
        <w:widowControl w:val="1"/>
      </w:pPr>
      <w:r>
        <w:t>Nombre_Metrica</w:t>
      </w:r>
    </w:p>
    <w:p>
      <w:pPr>
        <w:pStyle w:val="ListBullet"/>
        <w:keepLines w:val="1"/>
        <w:keepNext w:val="1"/>
        <w:widowControl w:val="1"/>
      </w:pPr>
      <w:r>
        <w:t>Descripción_Corta</w:t>
      </w:r>
    </w:p>
    <w:p>
      <w:pPr>
        <w:pStyle w:val="ListBullet"/>
        <w:keepLines w:val="1"/>
        <w:keepNext w:val="1"/>
        <w:widowControl w:val="1"/>
      </w:pPr>
      <w:r>
        <w:t>Unidad (% , días, ratio, euros, etc.)</w:t>
      </w:r>
    </w:p>
    <w:p>
      <w:pPr>
        <w:pStyle w:val="ListBullet"/>
        <w:keepLines w:val="1"/>
        <w:keepNext w:val="1"/>
        <w:widowControl w:val="1"/>
      </w:pPr>
      <w:r>
        <w:t>Referencia_HyVAW (resumen + cita)</w:t>
      </w:r>
    </w:p>
    <w:p>
      <w:pPr>
        <w:pStyle w:val="ListBullet"/>
        <w:keepLines w:val="1"/>
        <w:widowControl w:val="1"/>
      </w:pPr>
      <w:r>
        <w:t>Referencia_NIS2_ENISA.[web:3][web:16][web:23][web:36]</w:t>
      </w:r>
    </w:p>
    <w:p>
      <w:r>
        <w:t>Ejemplo de fila:</w:t>
      </w:r>
    </w:p>
    <w:p>
      <w:pPr>
        <w:pStyle w:val="ListBullet"/>
        <w:keepLines w:val="1"/>
        <w:keepNext w:val="1"/>
        <w:widowControl w:val="1"/>
      </w:pPr>
      <w:r>
        <w:t xml:space="preserve">ID_Metrica: M3.1  </w:t>
      </w:r>
    </w:p>
    <w:p>
      <w:pPr>
        <w:pStyle w:val="ListBullet"/>
        <w:keepLines w:val="1"/>
        <w:keepNext w:val="1"/>
        <w:widowControl w:val="1"/>
      </w:pPr>
      <w:r>
        <w:t xml:space="preserve">Meta_GQM: G3  </w:t>
      </w:r>
    </w:p>
    <w:p>
      <w:pPr>
        <w:pStyle w:val="ListBullet"/>
        <w:keepLines w:val="1"/>
        <w:keepNext w:val="1"/>
        <w:widowControl w:val="1"/>
      </w:pPr>
      <w:r>
        <w:t xml:space="preserve">Nombre_Metrica: TTR vulnerabilidades críticas  </w:t>
      </w:r>
    </w:p>
    <w:p>
      <w:pPr>
        <w:pStyle w:val="ListBullet"/>
        <w:keepLines w:val="1"/>
        <w:keepNext w:val="1"/>
        <w:widowControl w:val="1"/>
      </w:pPr>
      <w:r>
        <w:t xml:space="preserve">Unidad: días  </w:t>
      </w:r>
    </w:p>
    <w:p>
      <w:pPr>
        <w:pStyle w:val="ListBullet"/>
        <w:keepLines w:val="1"/>
        <w:keepNext w:val="1"/>
        <w:widowControl w:val="1"/>
      </w:pPr>
      <w:r>
        <w:t xml:space="preserve">Referencia_HyVAW: “Fase de remediación y revalidación del flujo HyVAW”  </w:t>
      </w:r>
    </w:p>
    <w:p>
      <w:pPr>
        <w:pStyle w:val="ListBullet"/>
        <w:keepLines w:val="1"/>
        <w:widowControl w:val="1"/>
      </w:pPr>
      <w:r>
        <w:t>Referencia_NIS2_ENISA: “NIS2 – gestión de riesgos; ENISA Technical Guidance, apartado de vulnerabilidades”.[web:18][web:23][web:36]</w:t>
      </w:r>
    </w:p>
    <w:p>
      <w:pPr>
        <w:pStyle w:val="Heading2"/>
        <w:keepNext/>
        <w:keepLines/>
      </w:pPr>
      <w:r>
        <w:rPr>
          <w:color w:val="0066CC"/>
        </w:rPr>
        <w:t>3. Hoja PRAGMATIC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>ID_Metrica</w:t>
      </w:r>
    </w:p>
    <w:p>
      <w:pPr>
        <w:pStyle w:val="ListBullet"/>
        <w:keepLines w:val="1"/>
        <w:keepNext w:val="1"/>
        <w:widowControl w:val="1"/>
      </w:pPr>
      <w:r>
        <w:t>P R A G M A2 T I C (puntuaciones 1–5)</w:t>
      </w:r>
    </w:p>
    <w:p>
      <w:pPr>
        <w:pStyle w:val="ListBullet"/>
        <w:keepLines w:val="1"/>
        <w:keepNext w:val="1"/>
        <w:widowControl w:val="1"/>
      </w:pPr>
      <w:r>
        <w:t>Suma_PRAGMATIC (suma de los nueve criterios)</w:t>
      </w:r>
    </w:p>
    <w:p>
      <w:pPr>
        <w:pStyle w:val="ListBullet"/>
        <w:keepLines w:val="1"/>
        <w:widowControl w:val="1"/>
      </w:pPr>
      <w:r>
        <w:t>Media_PRAGMATIC (suma / 9).[web:42][web:44][web:48]</w:t>
      </w:r>
    </w:p>
    <w:p>
      <w:r>
        <w:t>Se pueden volcar directamente las puntuaciones de la “Matriz de Evaluación PRAGMATIC Completa”.</w:t>
      </w:r>
    </w:p>
    <w:p>
      <w:r>
        <w:t>Ejemplo fórmula: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Suma_PRAGMATIC = SUMA(P:RANGOC)</w:t>
        <w:br/>
        <w:t>Media_PRAGMATIC = Suma_PRAGMATIC / 9</w:t>
        <w:br/>
      </w:r>
    </w:p>
    <w:p>
      <w:r>
        <w:t>(ajustando el rango a las columnas reales).</w:t>
      </w:r>
    </w:p>
    <w:p>
      <w:pPr>
        <w:pStyle w:val="Heading2"/>
        <w:keepNext/>
        <w:keepLines/>
      </w:pPr>
      <w:r>
        <w:rPr>
          <w:color w:val="0066CC"/>
        </w:rPr>
        <w:t>4. Hoja Pesos_GQM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Meta_GQM (G1–G4)  </w:t>
      </w:r>
    </w:p>
    <w:p>
      <w:pPr>
        <w:pStyle w:val="ListBullet"/>
        <w:keepLines w:val="1"/>
        <w:keepNext w:val="1"/>
        <w:widowControl w:val="1"/>
      </w:pPr>
      <w:r>
        <w:t xml:space="preserve">Peso_Meta (ej. G1=0,25; G2=0,25; G3=0,30; G4=0,20).  </w:t>
      </w:r>
    </w:p>
    <w:p>
      <w:pPr>
        <w:pStyle w:val="ListBullet"/>
        <w:keepLines w:val="1"/>
        <w:keepNext w:val="1"/>
        <w:widowControl w:val="1"/>
      </w:pPr>
      <w:r>
        <w:t xml:space="preserve">ID_Metrica </w:t>
      </w:r>
    </w:p>
    <w:p>
      <w:pPr>
        <w:pStyle w:val="ListBullet"/>
        <w:keepLines w:val="1"/>
        <w:widowControl w:val="1"/>
      </w:pPr>
      <w:r>
        <w:t>Peso_Metrica_Meta (peso relativo dentro de la meta, p. ej. todas iguales o ponderadas).</w:t>
      </w:r>
    </w:p>
    <w:p>
      <w:r>
        <w:t xml:space="preserve">Opcionalmente, se puede usar la </w:t>
      </w:r>
      <w:r>
        <w:rPr>
          <w:rFonts w:ascii="Courier New" w:hAnsi="Courier New"/>
          <w:sz w:val="18"/>
        </w:rPr>
        <w:t>Media_PRAGMATIC</w:t>
      </w:r>
      <w:r>
        <w:t xml:space="preserve"> como factor corrector de peso: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Peso_Ajustado = Peso_Metrica_Meta * Media_PRAGMATIC</w:t>
        <w:br/>
      </w:r>
    </w:p>
    <w:p>
      <w:r>
        <w:t>y normalizar por meta: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Peso_Normalizado = Peso_Ajustado / SUMA(Peso_Ajustado_por_Meta)</w:t>
        <w:br/>
      </w:r>
    </w:p>
    <w:p>
      <w:r>
        <w:t>Así, métricas con mejor perfil PRAGMATIC pesan más en la madurez.[web:48]</w:t>
      </w:r>
    </w:p>
    <w:p>
      <w:pPr>
        <w:pStyle w:val="Heading2"/>
        <w:keepNext/>
        <w:keepLines/>
      </w:pPr>
      <w:r>
        <w:rPr>
          <w:color w:val="0066CC"/>
        </w:rPr>
        <w:t>5. Hoja Respuestas_Org</w:t>
      </w:r>
    </w:p>
    <w:p>
      <w:r>
        <w:t>Cada fila = una organización.</w:t>
      </w:r>
      <w:r/>
      <w:r>
        <w:br/>
        <w:t>Columnas, entre otras:</w:t>
      </w:r>
    </w:p>
    <w:p>
      <w:pPr>
        <w:pStyle w:val="ListBullet"/>
        <w:keepLines w:val="1"/>
        <w:keepNext w:val="1"/>
        <w:widowControl w:val="1"/>
      </w:pPr>
      <w:r>
        <w:t>Org_ID</w:t>
      </w:r>
    </w:p>
    <w:p>
      <w:pPr>
        <w:pStyle w:val="ListBullet"/>
        <w:keepLines w:val="1"/>
        <w:keepNext w:val="1"/>
        <w:widowControl w:val="1"/>
      </w:pPr>
      <w:r>
        <w:t>Sector</w:t>
      </w:r>
    </w:p>
    <w:p>
      <w:pPr>
        <w:pStyle w:val="ListBullet"/>
        <w:keepLines w:val="1"/>
        <w:keepNext w:val="1"/>
        <w:widowControl w:val="1"/>
      </w:pPr>
      <w:r>
        <w:t>Tamano</w:t>
      </w:r>
    </w:p>
    <w:p>
      <w:pPr>
        <w:pStyle w:val="ListBullet"/>
        <w:keepLines w:val="1"/>
        <w:keepNext w:val="1"/>
        <w:widowControl w:val="1"/>
      </w:pPr>
      <w:r>
        <w:t>Valor_M1_1</w:t>
      </w:r>
    </w:p>
    <w:p>
      <w:pPr>
        <w:pStyle w:val="ListBullet"/>
        <w:keepLines w:val="1"/>
        <w:keepNext w:val="1"/>
        <w:widowControl w:val="1"/>
      </w:pPr>
      <w:r>
        <w:t>Valor_M1_2</w:t>
      </w:r>
    </w:p>
    <w:p>
      <w:pPr>
        <w:pStyle w:val="ListBullet"/>
        <w:keepLines w:val="1"/>
        <w:keepNext w:val="1"/>
        <w:widowControl w:val="1"/>
      </w:pPr>
      <w:r>
        <w:t>…</w:t>
      </w:r>
    </w:p>
    <w:p>
      <w:pPr>
        <w:pStyle w:val="ListBullet"/>
        <w:keepLines w:val="1"/>
        <w:widowControl w:val="1"/>
      </w:pPr>
      <w:r>
        <w:t>Valor_M4_3</w:t>
      </w:r>
    </w:p>
    <w:p>
      <w:r>
        <w:t>Las métricas se calculan a partir de los datos de la encuesta y de otras fuentes internas (por ejemplo, TTR a partir de tickets).[web:19][web:23][web:32]</w:t>
      </w:r>
    </w:p>
    <w:p>
      <w:pPr>
        <w:pStyle w:val="Heading2"/>
        <w:keepNext/>
        <w:keepLines/>
      </w:pPr>
      <w:r>
        <w:rPr>
          <w:color w:val="0066CC"/>
        </w:rPr>
        <w:t>6. Hoja IGM</w:t>
      </w:r>
    </w:p>
    <w:p>
      <w:r>
        <w:t>Para cada organización:</w:t>
      </w:r>
    </w:p>
    <w:p>
      <w:pPr>
        <w:pStyle w:val="ListNumber"/>
        <w:keepLines w:val="1"/>
        <w:widowControl w:val="1"/>
      </w:pPr>
      <w:r>
        <w:t>Calcular, por meta GQM, un índice parcial (0–100):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IGM_G1 = 100 * SUMAPRODUCTO(Valores_Metricas_G1; Pesos_Normalizados_G1) / Maximo_Teorico_G1</w:t>
        <w:br/>
      </w:r>
    </w:p>
    <w:p>
      <w:r>
        <w:t xml:space="preserve">El </w:t>
      </w:r>
      <w:r>
        <w:rPr>
          <w:rFonts w:ascii="Courier New" w:hAnsi="Courier New"/>
          <w:sz w:val="18"/>
        </w:rPr>
        <w:t>Maximo_Teorico_G1</w:t>
      </w:r>
      <w:r>
        <w:t xml:space="preserve"> puede ser:</w:t>
      </w:r>
      <w:r/>
      <w:r>
        <w:br/>
        <w:t>- El valor máximo deseable de la métrica (por ejemplo, 100 % de cobertura).</w:t>
      </w:r>
      <w:r/>
      <w:r>
        <w:br/>
        <w:t>- Una normalización previa de cada métrica a escala 0–1 antes de ponderar.</w:t>
      </w:r>
    </w:p>
    <w:p>
      <w:r>
        <w:t>Se repite para G2, G3, G4.</w:t>
      </w:r>
    </w:p>
    <w:p>
      <w:pPr>
        <w:pStyle w:val="ListNumber"/>
        <w:keepLines w:val="1"/>
        <w:widowControl w:val="1"/>
      </w:pPr>
      <w:r>
        <w:t>Calcular el IGM global: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IGM_Global = SUMAPRODUCTO({IGM_G1; IGM_G2; IGM_G3; IGM_G4}; {Peso_G1; Peso_G2; Peso_G3; Peso_G4}) / 100</w:t>
        <w:br/>
      </w:r>
    </w:p>
    <w:p>
      <w:r>
        <w:t>Dejar el resultado en 0–100 o re‑escalarlo según se prefiera.[web:23][web:36]</w:t>
      </w:r>
    </w:p>
    <w:p>
      <w:pPr>
        <w:pStyle w:val="ListNumber"/>
        <w:keepLines w:val="1"/>
        <w:keepNext w:val="1"/>
        <w:widowControl w:val="1"/>
      </w:pPr>
      <w:r>
        <w:br/>
        <w:t>Incluir campos de clasificación:</w:t>
        <w:br/>
      </w:r>
    </w:p>
    <w:p>
      <w:pPr>
        <w:pStyle w:val="ListNumber"/>
        <w:keepLines w:val="1"/>
        <w:keepNext w:val="1"/>
        <w:widowControl w:val="1"/>
      </w:pPr>
      <w:r>
        <w:br/>
        <w:t>Nivel_IGM (incipiente, básica, intermedia, avanzada, líder).</w:t>
        <w:br/>
      </w:r>
    </w:p>
    <w:p>
      <w:pPr>
        <w:pStyle w:val="ListNumber"/>
        <w:keepLines w:val="1"/>
        <w:widowControl w:val="1"/>
      </w:pPr>
      <w:r>
        <w:t>Cuartil_Sectorial (1–4) según distribución por sector.</w:t>
      </w:r>
    </w:p>
    <w:p>
      <w:r>
        <w:t>Incluir campos de clasificación:</w:t>
      </w:r>
    </w:p>
    <w:p>
      <w:r>
        <w:rPr>
          <w:rFonts w:ascii="Courier New" w:hAnsi="Courier New"/>
          <w:sz w:val="18"/>
        </w:rPr>
        <w:t>Nivel_IGM</w:t>
      </w:r>
      <w:r>
        <w:t xml:space="preserve"> (incipiente, básica, intermedia, avanzada, líder).</w:t>
      </w:r>
    </w:p>
    <w:p>
      <w:pPr>
        <w:pStyle w:val="Heading2"/>
        <w:keepNext/>
        <w:keepLines/>
      </w:pPr>
      <w:r>
        <w:rPr>
          <w:color w:val="0066CC"/>
        </w:rPr>
        <w:t>7. Hoja ROI</w:t>
      </w:r>
    </w:p>
    <w:p>
      <w:r>
        <w:t>Variables de entrada por organización:</w:t>
      </w:r>
    </w:p>
    <w:p>
      <w:pPr>
        <w:pStyle w:val="ListBullet"/>
        <w:keepLines w:val="1"/>
        <w:keepNext w:val="1"/>
        <w:widowControl w:val="1"/>
      </w:pPr>
      <w:r>
        <w:t>Coste_HyVAW_Anual</w:t>
      </w:r>
    </w:p>
    <w:p>
      <w:pPr>
        <w:pStyle w:val="ListBullet"/>
        <w:keepLines w:val="1"/>
        <w:keepNext w:val="1"/>
        <w:widowControl w:val="1"/>
      </w:pPr>
      <w:r>
        <w:t>Incidentes_Antes</w:t>
      </w:r>
    </w:p>
    <w:p>
      <w:pPr>
        <w:pStyle w:val="ListBullet"/>
        <w:keepLines w:val="1"/>
        <w:keepNext w:val="1"/>
        <w:widowControl w:val="1"/>
      </w:pPr>
      <w:r>
        <w:t>Incidentes_Despues</w:t>
      </w:r>
    </w:p>
    <w:p>
      <w:pPr>
        <w:pStyle w:val="ListBullet"/>
        <w:keepLines w:val="1"/>
        <w:keepNext w:val="1"/>
        <w:widowControl w:val="1"/>
      </w:pPr>
      <w:r>
        <w:t>Impacto_Medio_Incidente (en euros)</w:t>
      </w:r>
    </w:p>
    <w:p>
      <w:pPr>
        <w:pStyle w:val="ListBullet"/>
        <w:keepLines w:val="1"/>
        <w:keepNext w:val="1"/>
        <w:widowControl w:val="1"/>
      </w:pPr>
      <w:r>
        <w:t>Horas_Indisp_Antes</w:t>
      </w:r>
    </w:p>
    <w:p>
      <w:pPr>
        <w:pStyle w:val="ListBullet"/>
        <w:keepLines w:val="1"/>
        <w:keepNext w:val="1"/>
        <w:widowControl w:val="1"/>
      </w:pPr>
      <w:r>
        <w:t>Horas_Indisp_Despues</w:t>
      </w:r>
    </w:p>
    <w:p>
      <w:pPr>
        <w:pStyle w:val="ListBullet"/>
        <w:keepLines w:val="1"/>
        <w:widowControl w:val="1"/>
      </w:pPr>
      <w:r>
        <w:t>Coste_Hora_Indisp.[web:19][web:32][web:34]</w:t>
      </w:r>
    </w:p>
    <w:p>
      <w:r>
        <w:t>Cálculos: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Reduccion_Incidentes = Incidentes_Antes - Incidentes_Despues</w:t>
        <w:br/>
        <w:t>Impacto_Evitado = Reduccion_Incidentes * Impacto_Medio_Incidente</w:t>
        <w:br/>
        <w:br/>
        <w:t>Ahorro_Indisp = (Horas_Indisp_Antes - Horas_Indisp_Despues) * Coste_Hora_Indisp</w:t>
        <w:br/>
        <w:br/>
        <w:t>ROI_HyVAW = (Impacto_Evitado + Ahorro_Indisp - Coste_HyVAW_Anual) / Coste_HyVAW_Anual</w:t>
        <w:br/>
      </w:r>
    </w:p>
    <w:p>
      <w:r>
        <w:t>Se recomienda acompañar el ROI de bandas de confianza o escenarios (optimista, conservador, pesimista), dado el carácter contrafactual de parte de las cifras.[web:48]</w:t>
      </w:r>
    </w:p>
    <w:p>
      <w:pPr>
        <w:pStyle w:val="Heading2"/>
        <w:keepNext/>
        <w:keepLines/>
      </w:pPr>
      <w:r>
        <w:rPr>
          <w:color w:val="0066CC"/>
        </w:rPr>
        <w:t>8. Integración con visualizaciones</w:t>
      </w:r>
    </w:p>
    <w:p>
      <w:r>
        <w:t xml:space="preserve">A partir de </w:t>
      </w:r>
      <w:r>
        <w:rPr>
          <w:rFonts w:ascii="Courier New" w:hAnsi="Courier New"/>
          <w:sz w:val="18"/>
        </w:rPr>
        <w:t>IGM</w:t>
      </w:r>
      <w:r>
        <w:t xml:space="preserve"> y </w:t>
      </w:r>
      <w:r>
        <w:rPr>
          <w:rFonts w:ascii="Courier New" w:hAnsi="Courier New"/>
          <w:sz w:val="18"/>
        </w:rPr>
        <w:t>ROI</w:t>
      </w:r>
      <w:r>
        <w:t xml:space="preserve"> pueden generarse:</w:t>
      </w:r>
    </w:p>
    <w:p>
      <w:pPr>
        <w:pStyle w:val="ListBullet"/>
        <w:keepLines w:val="1"/>
        <w:keepNext w:val="1"/>
        <w:widowControl w:val="1"/>
      </w:pPr>
      <w:r>
        <w:t>Gráficos radar por meta GQM.</w:t>
      </w:r>
    </w:p>
    <w:p>
      <w:pPr>
        <w:pStyle w:val="ListBullet"/>
        <w:keepLines w:val="1"/>
        <w:keepNext w:val="1"/>
        <w:widowControl w:val="1"/>
      </w:pPr>
      <w:r>
        <w:t>Mapas de calor por sector y tamaño.</w:t>
      </w:r>
    </w:p>
    <w:p>
      <w:pPr>
        <w:pStyle w:val="ListBullet"/>
        <w:keepLines w:val="1"/>
        <w:keepNext w:val="1"/>
        <w:widowControl w:val="1"/>
      </w:pPr>
      <w:r>
        <w:t>Gráficos de dispersión IGM vs. frecuencia de incidentes.</w:t>
      </w:r>
    </w:p>
    <w:p>
      <w:pPr>
        <w:pStyle w:val="ListBullet"/>
        <w:keepLines w:val="1"/>
        <w:widowControl w:val="1"/>
      </w:pPr>
      <w:r>
        <w:t>Barras apiladas de PRAGMATIC para cada métrica (opcional, para nerds de la medición).[web:31][web:36][web:48]</w:t>
      </w:r>
    </w:p>
    <w:p>
      <w:r>
        <w:t>El objetivo es que la hoja de cálculo no sea solo un sumatorio, sino un cuadro de mando navegable que haga visible la relación entre metas nacionales, métricas HyVAW y decisiones concretas.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