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del Índice Global de Madurez (IGM) y ROI HyVAW</w:t>
      </w:r>
    </w:p>
    <w:p>
      <w:r>
        <w:t>Este documento describe cómo implementar en Excel (o herramienta equivalente) una hoja de cálculo para calcular:</w:t>
      </w:r>
    </w:p>
    <w:p>
      <w:pPr>
        <w:pStyle w:val="ListBullet"/>
        <w:keepLines w:val="1"/>
        <w:keepNext w:val="1"/>
        <w:widowControl w:val="1"/>
      </w:pPr>
      <w:r>
        <w:t>Un Índice Global de Madurez (IGM) en gestión híbrida de vulnerabilidades.</w:t>
      </w:r>
    </w:p>
    <w:p>
      <w:pPr>
        <w:pStyle w:val="ListBullet"/>
        <w:keepLines w:val="1"/>
        <w:widowControl w:val="1"/>
      </w:pPr>
      <w:r>
        <w:t>Indicadores básicos de ROI de las iniciativas HyVAW (o equivalentes).[web:19][web:23][web:32]</w:t>
      </w:r>
    </w:p>
    <w:p>
      <w:pPr>
        <w:pStyle w:val="Heading2"/>
        <w:keepNext/>
        <w:keepLines/>
      </w:pPr>
      <w:r>
        <w:rPr>
          <w:color w:val="0066CC"/>
        </w:rPr>
        <w:t>1. Estructura de la hoja</w:t>
      </w:r>
    </w:p>
    <w:p>
      <w:r>
        <w:t>Se recomienda crear las siguientes hojas:</w:t>
      </w:r>
    </w:p>
    <w:p>
      <w:pPr>
        <w:pStyle w:val="ListNumber"/>
        <w:keepLines w:val="1"/>
        <w:keepNext w:val="1"/>
        <w:widowControl w:val="1"/>
      </w:pPr>
      <w:r>
        <w:t>Respuestas: registro de respuestas numéricas por organización.</w:t>
      </w:r>
    </w:p>
    <w:p>
      <w:pPr>
        <w:pStyle w:val="ListNumber"/>
        <w:keepLines w:val="1"/>
        <w:keepNext w:val="1"/>
        <w:widowControl w:val="1"/>
      </w:pPr>
      <w:r>
        <w:t>Pesos: definición de pesos por pregunta y bloque.</w:t>
      </w:r>
    </w:p>
    <w:p>
      <w:pPr>
        <w:pStyle w:val="ListNumber"/>
        <w:keepLines w:val="1"/>
        <w:keepNext w:val="1"/>
        <w:widowControl w:val="1"/>
      </w:pPr>
      <w:r>
        <w:t>Cálculos_IGM: cálculo de índices parciales y globales.</w:t>
      </w:r>
    </w:p>
    <w:p>
      <w:pPr>
        <w:pStyle w:val="ListNumber"/>
        <w:keepLines w:val="1"/>
        <w:keepNext w:val="1"/>
        <w:widowControl w:val="1"/>
      </w:pPr>
      <w:r>
        <w:t>ROI: cálculo de indicadores de retorno.</w:t>
      </w:r>
    </w:p>
    <w:p>
      <w:pPr>
        <w:pStyle w:val="ListNumber"/>
        <w:keepLines w:val="1"/>
        <w:widowControl w:val="1"/>
      </w:pPr>
      <w:r>
        <w:t>Diccionario: descripción de variables y escalas.[web:23][web:36]</w:t>
      </w:r>
    </w:p>
    <w:p>
      <w:pPr>
        <w:pStyle w:val="Heading2"/>
        <w:keepNext/>
        <w:keepLines/>
      </w:pPr>
      <w:r>
        <w:rPr>
          <w:color w:val="0066CC"/>
        </w:rPr>
        <w:t>2. Codificación de respuestas</w:t>
      </w:r>
    </w:p>
    <w:p>
      <w:r>
        <w:t xml:space="preserve">En la hoja </w:t>
      </w:r>
      <w:r>
        <w:rPr>
          <w:rFonts w:ascii="Courier New" w:hAnsi="Courier New"/>
          <w:sz w:val="18"/>
        </w:rPr>
        <w:t>Respuestas</w:t>
      </w:r>
      <w:r>
        <w:t>, cada fila corresponde a una organización y cada columna a una pregunta codificada (ej. P1_1, P2_3, P4_2, etc.). Las opciones se convierten a valores numéricos según:</w:t>
      </w:r>
    </w:p>
    <w:p>
      <w:pPr>
        <w:pStyle w:val="ListBullet"/>
        <w:keepLines w:val="1"/>
        <w:keepNext w:val="1"/>
        <w:widowControl w:val="1"/>
      </w:pPr>
      <w:r>
        <w:t>Escalas de madurez 1–5: ya numéricas.</w:t>
      </w:r>
    </w:p>
    <w:p>
      <w:pPr>
        <w:pStyle w:val="ListBullet"/>
        <w:keepLines w:val="1"/>
        <w:keepNext w:val="1"/>
        <w:widowControl w:val="1"/>
      </w:pPr>
      <w:r>
        <w:t>Opciones múltiples: asignar 0–3 o 0–5 según grado (por ejemplo, “no existe proceso” = 0; “proceso definido y auditado” = 5).</w:t>
      </w:r>
    </w:p>
    <w:p>
      <w:pPr>
        <w:pStyle w:val="ListBullet"/>
        <w:keepLines w:val="1"/>
        <w:widowControl w:val="1"/>
      </w:pPr>
      <w:r>
        <w:t>Preguntas multi‑selección: codificar varias columnas binarias (0/1) o un índice derivado (número de prácticas implementadas).[web:23][web:36]</w:t>
      </w:r>
    </w:p>
    <w:p>
      <w:r>
        <w:t>Ejemplo:</w:t>
      </w:r>
      <w:r/>
      <w:r>
        <w:br/>
        <w:t>- P4_2 (medición de tiempo de remediación):</w:t>
      </w:r>
      <w:r/>
      <w:r>
        <w:br/>
        <w:t xml:space="preserve">  - No se mide = 0</w:t>
      </w:r>
      <w:r/>
      <w:r>
        <w:br/>
        <w:t xml:space="preserve">  - Se mide parcialmente = 2</w:t>
      </w:r>
      <w:r/>
      <w:r>
        <w:br/>
        <w:t xml:space="preserve">  - Se mide y revisa periódicamente = 5  </w:t>
      </w:r>
    </w:p>
    <w:p>
      <w:pPr>
        <w:pStyle w:val="Heading2"/>
        <w:keepNext/>
        <w:keepLines/>
      </w:pPr>
      <w:r>
        <w:rPr>
          <w:color w:val="0066CC"/>
        </w:rPr>
        <w:t>3. Definición de bloques e índices parciales</w:t>
      </w:r>
    </w:p>
    <w:p>
      <w:r>
        <w:t xml:space="preserve">En </w:t>
      </w:r>
      <w:r>
        <w:rPr>
          <w:rFonts w:ascii="Courier New" w:hAnsi="Courier New"/>
          <w:sz w:val="18"/>
        </w:rPr>
        <w:t>Pesos</w:t>
      </w:r>
      <w:r>
        <w:t>, listar para cada pregunta:</w:t>
      </w:r>
    </w:p>
    <w:p>
      <w:pPr>
        <w:pStyle w:val="ListBullet"/>
        <w:keepLines w:val="1"/>
        <w:keepNext w:val="1"/>
        <w:widowControl w:val="1"/>
      </w:pPr>
      <w:r>
        <w:t>Bloque (B1 Inventario, B2 Flujo híbrido, B3 Métricas, B4 Gestión, B5 NIS2, B6 Resultados, B7 ROI).</w:t>
      </w:r>
    </w:p>
    <w:p>
      <w:pPr>
        <w:pStyle w:val="ListBullet"/>
        <w:keepLines w:val="1"/>
        <w:keepNext w:val="1"/>
        <w:widowControl w:val="1"/>
      </w:pPr>
      <w:r>
        <w:t>Peso dentro del bloque (por defecto, igual; puede ajustarse).</w:t>
      </w:r>
    </w:p>
    <w:p>
      <w:pPr>
        <w:pStyle w:val="ListBullet"/>
        <w:keepLines w:val="1"/>
        <w:widowControl w:val="1"/>
      </w:pPr>
      <w:r>
        <w:t>Peso del bloque en el IGM global.</w:t>
      </w:r>
    </w:p>
    <w:p>
      <w:r>
        <w:t>Ejemplo de pesos de bloque (total = 1):</w:t>
      </w:r>
    </w:p>
    <w:p>
      <w:pPr>
        <w:pStyle w:val="ListBullet"/>
        <w:keepLines w:val="1"/>
        <w:keepNext w:val="1"/>
        <w:widowControl w:val="1"/>
      </w:pPr>
      <w:r>
        <w:t>B1 Inventario y modelado: 0,15</w:t>
      </w:r>
    </w:p>
    <w:p>
      <w:pPr>
        <w:pStyle w:val="ListBullet"/>
        <w:keepLines w:val="1"/>
        <w:keepNext w:val="1"/>
        <w:widowControl w:val="1"/>
      </w:pPr>
      <w:r>
        <w:t>B2 Flujo híbrido: 0,20</w:t>
      </w:r>
    </w:p>
    <w:p>
      <w:pPr>
        <w:pStyle w:val="ListBullet"/>
        <w:keepLines w:val="1"/>
        <w:keepNext w:val="1"/>
        <w:widowControl w:val="1"/>
      </w:pPr>
      <w:r>
        <w:t>B3 Métricas de calidad: 0,15</w:t>
      </w:r>
    </w:p>
    <w:p>
      <w:pPr>
        <w:pStyle w:val="ListBullet"/>
        <w:keepLines w:val="1"/>
        <w:keepNext w:val="1"/>
        <w:widowControl w:val="1"/>
      </w:pPr>
      <w:r>
        <w:t>B4 Gestión de vulnerabilidades: 0,20</w:t>
      </w:r>
    </w:p>
    <w:p>
      <w:pPr>
        <w:pStyle w:val="ListBullet"/>
        <w:keepLines w:val="1"/>
        <w:keepNext w:val="1"/>
        <w:widowControl w:val="1"/>
      </w:pPr>
      <w:r>
        <w:t>B5 NIS2 / ENISA: 0,10</w:t>
      </w:r>
    </w:p>
    <w:p>
      <w:pPr>
        <w:pStyle w:val="ListBullet"/>
        <w:keepLines w:val="1"/>
        <w:keepNext w:val="1"/>
        <w:widowControl w:val="1"/>
      </w:pPr>
      <w:r>
        <w:t>B6 Resultados y resiliencia: 0,10</w:t>
      </w:r>
    </w:p>
    <w:p>
      <w:pPr>
        <w:pStyle w:val="ListBullet"/>
        <w:keepLines w:val="1"/>
        <w:widowControl w:val="1"/>
      </w:pPr>
      <w:r>
        <w:t>B7 ROI y estrategia: 0,10[web:23][web:36]</w:t>
      </w:r>
    </w:p>
    <w:p>
      <w:r>
        <w:t xml:space="preserve">En </w:t>
      </w:r>
      <w:r>
        <w:rPr>
          <w:rFonts w:ascii="Courier New" w:hAnsi="Courier New"/>
          <w:sz w:val="18"/>
        </w:rPr>
        <w:t>Cálculos_IGM</w:t>
      </w:r>
      <w:r>
        <w:t>, para cada bloque y organización:</w:t>
      </w:r>
    </w:p>
    <w:p>
      <w:pPr>
        <w:pStyle w:val="ListNumber"/>
        <w:keepLines w:val="1"/>
        <w:keepNext w:val="1"/>
        <w:widowControl w:val="1"/>
      </w:pPr>
      <w:r>
        <w:t>Calcular la suma de (respuesta normalizada × peso de pregunta).</w:t>
      </w:r>
    </w:p>
    <w:p>
      <w:pPr>
        <w:pStyle w:val="ListNumber"/>
        <w:keepLines w:val="1"/>
        <w:keepNext w:val="1"/>
        <w:widowControl w:val="1"/>
      </w:pPr>
      <w:r>
        <w:t>Dividir por la suma de pesos del bloque.</w:t>
      </w:r>
    </w:p>
    <w:p>
      <w:pPr>
        <w:pStyle w:val="ListNumber"/>
        <w:keepLines w:val="1"/>
        <w:widowControl w:val="1"/>
      </w:pPr>
      <w:r>
        <w:t>Normalizar a escala 0–100.</w:t>
      </w:r>
    </w:p>
    <w:p>
      <w:r>
        <w:t>Fórmula tipo (ejemplo Excel):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100 * SUMAPRODUCTO(respuestas_bloque; pesos_bloque) / SUMA(pesos_bloque)</w:t>
        <w:br/>
      </w:r>
    </w:p>
    <w:p>
      <w:r>
        <w:t xml:space="preserve">Repetir para cada bloque, generando columnas </w:t>
      </w:r>
      <w:r>
        <w:rPr>
          <w:rFonts w:ascii="Courier New" w:hAnsi="Courier New"/>
          <w:sz w:val="18"/>
        </w:rPr>
        <w:t>IGM_B1</w:t>
      </w:r>
      <w:r>
        <w:t xml:space="preserve">, </w:t>
      </w:r>
      <w:r>
        <w:rPr>
          <w:rFonts w:ascii="Courier New" w:hAnsi="Courier New"/>
          <w:sz w:val="18"/>
        </w:rPr>
        <w:t>IGM_B2</w:t>
      </w:r>
      <w:r>
        <w:t>, etc.</w:t>
      </w:r>
    </w:p>
    <w:p>
      <w:pPr>
        <w:pStyle w:val="Heading2"/>
        <w:keepNext/>
        <w:keepLines/>
      </w:pPr>
      <w:r>
        <w:rPr>
          <w:color w:val="0066CC"/>
        </w:rPr>
        <w:t>4. Cálculo del IGM global</w:t>
      </w:r>
    </w:p>
    <w:p>
      <w:r>
        <w:t>El IGM global se obtiene como suma de índices parciales ponderados: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SUMAPRODUCTO({IGM_B1; IGM_B2; ...}; {Peso_B1; Peso_B2; ...}) / 100</w:t>
        <w:br/>
      </w:r>
    </w:p>
    <w:p>
      <w:r>
        <w:t>Se puede dejar en escala 0–100 para facilitar la interpretación:</w:t>
      </w:r>
    </w:p>
    <w:p>
      <w:pPr>
        <w:pStyle w:val="ListBullet"/>
        <w:keepLines w:val="1"/>
        <w:keepNext w:val="1"/>
        <w:widowControl w:val="1"/>
      </w:pPr>
      <w:r>
        <w:t>0–20: incipiente</w:t>
      </w:r>
    </w:p>
    <w:p>
      <w:pPr>
        <w:pStyle w:val="ListBullet"/>
        <w:keepLines w:val="1"/>
        <w:keepNext w:val="1"/>
        <w:widowControl w:val="1"/>
      </w:pPr>
      <w:r>
        <w:t>21–40: básica</w:t>
      </w:r>
    </w:p>
    <w:p>
      <w:pPr>
        <w:pStyle w:val="ListBullet"/>
        <w:keepLines w:val="1"/>
        <w:keepNext w:val="1"/>
        <w:widowControl w:val="1"/>
      </w:pPr>
      <w:r>
        <w:t>41–60: intermedia</w:t>
      </w:r>
    </w:p>
    <w:p>
      <w:pPr>
        <w:pStyle w:val="ListBullet"/>
        <w:keepLines w:val="1"/>
        <w:keepNext w:val="1"/>
        <w:widowControl w:val="1"/>
      </w:pPr>
      <w:r>
        <w:t>61–80: avanzada</w:t>
      </w:r>
    </w:p>
    <w:p>
      <w:pPr>
        <w:pStyle w:val="ListBullet"/>
        <w:keepLines w:val="1"/>
        <w:widowControl w:val="1"/>
      </w:pPr>
      <w:r>
        <w:t>81–100: líder[web:23][web:36]</w:t>
      </w:r>
    </w:p>
    <w:p>
      <w:pPr>
        <w:pStyle w:val="Heading2"/>
        <w:keepNext/>
        <w:keepLines/>
      </w:pPr>
      <w:r>
        <w:rPr>
          <w:color w:val="0066CC"/>
        </w:rPr>
        <w:t>5. Indicadores de ROI</w:t>
      </w:r>
    </w:p>
    <w:p>
      <w:r>
        <w:t xml:space="preserve">En la hoja </w:t>
      </w:r>
      <w:r>
        <w:rPr>
          <w:rFonts w:ascii="Courier New" w:hAnsi="Courier New"/>
          <w:sz w:val="18"/>
        </w:rPr>
        <w:t>ROI</w:t>
      </w:r>
      <w:r>
        <w:t>, incluir al menos las siguientes entradas por organización:</w:t>
      </w:r>
    </w:p>
    <w:p>
      <w:pPr>
        <w:pStyle w:val="ListBullet"/>
        <w:keepLines w:val="1"/>
        <w:keepNext w:val="1"/>
        <w:widowControl w:val="1"/>
      </w:pPr>
      <w:r>
        <w:t>Coste anual directo de análisis de vulnerabilidades (herramientas, servicios, personal dedicado).</w:t>
      </w:r>
    </w:p>
    <w:p>
      <w:pPr>
        <w:pStyle w:val="ListBullet"/>
        <w:keepLines w:val="1"/>
        <w:keepNext w:val="1"/>
        <w:widowControl w:val="1"/>
      </w:pPr>
      <w:r>
        <w:t>Número de incidentes significativos “antes” y “después” de la implantación de HyVAW.</w:t>
      </w:r>
    </w:p>
    <w:p>
      <w:pPr>
        <w:pStyle w:val="ListBullet"/>
        <w:keepLines w:val="1"/>
        <w:keepNext w:val="1"/>
        <w:widowControl w:val="1"/>
      </w:pPr>
      <w:r>
        <w:t>Pérdida media estimada por incidente significativo (en euros).</w:t>
      </w:r>
    </w:p>
    <w:p>
      <w:pPr>
        <w:pStyle w:val="ListBullet"/>
        <w:keepLines w:val="1"/>
        <w:keepNext w:val="1"/>
        <w:widowControl w:val="1"/>
      </w:pPr>
      <w:r>
        <w:t>Tiempo de indisponibilidad acumulado (en horas) antes/después.</w:t>
      </w:r>
    </w:p>
    <w:p>
      <w:pPr>
        <w:pStyle w:val="ListBullet"/>
        <w:keepLines w:val="1"/>
        <w:widowControl w:val="1"/>
      </w:pPr>
      <w:r>
        <w:t>Costes asociados a sanciones, litigios o daños reputacionales (si procede).[web:19][web:32][web:34]</w:t>
      </w:r>
    </w:p>
    <w:p>
      <w:r>
        <w:t>A partir de ahí, se pueden calcular:</w:t>
      </w:r>
    </w:p>
    <w:p>
      <w:pPr>
        <w:pStyle w:val="ListNumber"/>
        <w:keepLines w:val="1"/>
        <w:keepNext w:val="1"/>
        <w:widowControl w:val="1"/>
      </w:pPr>
      <w:r>
        <w:br/>
        <w:t>Reducción de impacto (en euros) =</w:t>
        <w:br/>
        <w:t xml:space="preserve">   (Incidentes_antes × Pérdida_media) − (Incidentes_después × Pérdida_media).</w:t>
        <w:br/>
      </w:r>
    </w:p>
    <w:p>
      <w:pPr>
        <w:pStyle w:val="ListNumber"/>
        <w:keepLines w:val="1"/>
        <w:keepNext w:val="1"/>
        <w:widowControl w:val="1"/>
      </w:pPr>
      <w:r>
        <w:br/>
        <w:t>Ahorro en indisponibilidad =</w:t>
        <w:br/>
        <w:t xml:space="preserve">   (Horas_antes − Horas_después) × coste_hora (definido por la organización).</w:t>
        <w:br/>
      </w:r>
    </w:p>
    <w:p>
      <w:pPr>
        <w:pStyle w:val="ListNumber"/>
        <w:keepLines w:val="1"/>
        <w:widowControl w:val="1"/>
      </w:pPr>
      <w:r>
        <w:br/>
        <w:t>ROI aproximado =</w:t>
        <w:br/>
        <w:t xml:space="preserve">   (Reducción de impacto + Ahorro_indisponibilidad − Coste_anual_HyVAW) / Coste_anual_HyVAW.[web:19][web:23]</w:t>
        <w:br/>
      </w:r>
    </w:p>
    <w:p>
      <w:r>
        <w:rPr>
          <w:b/>
        </w:rPr>
        <w:t>Reducción de impacto</w:t>
      </w:r>
      <w:r>
        <w:t xml:space="preserve"> (en euros) =</w:t>
      </w:r>
      <w:r/>
      <w:r>
        <w:br/>
        <w:t xml:space="preserve">   (Incidentes_antes × Pérdida_media) − (Incidentes_después × Pérdida_media).</w:t>
      </w:r>
    </w:p>
    <w:p>
      <w:r>
        <w:rPr>
          <w:b/>
        </w:rPr>
        <w:t>Ahorro en indisponibilidad</w:t>
      </w:r>
      <w:r>
        <w:t xml:space="preserve"> =</w:t>
      </w:r>
      <w:r/>
      <w:r>
        <w:br/>
        <w:t xml:space="preserve">   (Horas_antes − Horas_después) × coste_hora (definido por la organización).</w:t>
      </w:r>
    </w:p>
    <w:p>
      <w:r>
        <w:rPr>
          <w:b/>
        </w:rPr>
        <w:t>ROI aproximado</w:t>
      </w:r>
      <w:r>
        <w:t xml:space="preserve"> =</w:t>
      </w:r>
      <w:r/>
      <w:r>
        <w:br/>
        <w:t xml:space="preserve">   (Reducción de impacto + Ahorro_indisponibilidad − Coste_anual_HyVAW) / Coste_anual_HyVAW.[web:19][web:23]</w:t>
      </w:r>
    </w:p>
    <w:p>
      <w:r>
        <w:t>No es un cálculo perfecto (la vida tampoco), pero sirve para dar orden de magnitud a la conversación estratégica.</w:t>
      </w:r>
    </w:p>
    <w:p>
      <w:pPr>
        <w:pStyle w:val="Heading2"/>
        <w:keepNext/>
        <w:keepLines/>
      </w:pPr>
      <w:r>
        <w:rPr>
          <w:color w:val="0066CC"/>
        </w:rPr>
        <w:t>6. Visualización y benchmarking</w:t>
      </w:r>
    </w:p>
    <w:p>
      <w:r>
        <w:t>La hoja puede completarse con:</w:t>
      </w:r>
    </w:p>
    <w:p>
      <w:pPr>
        <w:pStyle w:val="ListBullet"/>
        <w:keepLines w:val="1"/>
        <w:keepNext w:val="1"/>
        <w:widowControl w:val="1"/>
      </w:pPr>
      <w:r>
        <w:t>Gráficos radar por bloque de madurez.</w:t>
      </w:r>
    </w:p>
    <w:p>
      <w:pPr>
        <w:pStyle w:val="ListBullet"/>
        <w:keepLines w:val="1"/>
        <w:keepNext w:val="1"/>
        <w:widowControl w:val="1"/>
      </w:pPr>
      <w:r>
        <w:t>Histogramas de distribución de IGM por sector.</w:t>
      </w:r>
    </w:p>
    <w:p>
      <w:pPr>
        <w:pStyle w:val="ListBullet"/>
        <w:keepLines w:val="1"/>
        <w:widowControl w:val="1"/>
      </w:pPr>
      <w:r>
        <w:t>Diagramas de dispersión que relacionen IGM con frecuencia de incidentes o ROI.[web:31][web:36]</w:t>
      </w:r>
    </w:p>
    <w:p>
      <w:r>
        <w:t>Así, el Excel deja de ser una mera tabla triste y se convierte en una herramienta de conversación con la dirección y con el regulador.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