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HyVAW-NIS2 con enfoque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“Indicadores HyVAW‑NIS2: del objetivo nacional al dato técnico”.</w:t>
      </w:r>
    </w:p>
    <w:p>
      <w:pPr>
        <w:pStyle w:val="ListBullet"/>
        <w:keepLines w:val="1"/>
        <w:keepNext w:val="1"/>
        <w:widowControl w:val="1"/>
      </w:pPr>
      <w:r>
        <w:t>Subtítulo: “Resultados de la medición GQM + PRAGMATIC en [organización / sector / país]”.</w:t>
      </w:r>
    </w:p>
    <w:p>
      <w:pPr>
        <w:pStyle w:val="ListBullet"/>
        <w:keepLines w:val="1"/>
        <w:widowControl w:val="1"/>
      </w:pPr>
      <w:r>
        <w:t>Fecha, logotipos.</w:t>
      </w:r>
    </w:p>
    <w:p>
      <w:pPr>
        <w:pStyle w:val="Heading2"/>
        <w:keepNext/>
        <w:keepLines/>
      </w:pPr>
      <w:r>
        <w:rPr>
          <w:color w:val="0066CC"/>
        </w:rPr>
        <w:t>Diapositiva 2 – Mensaje clave en una frase</w:t>
      </w:r>
    </w:p>
    <w:p>
      <w:pPr>
        <w:pStyle w:val="ListBullet"/>
        <w:keepLines w:val="1"/>
        <w:widowControl w:val="1"/>
      </w:pPr>
      <w:r>
        <w:t>“Hemos medido lo que de verdad importa: cobertura, calidad, gestión y valor del análisis híbrido de vulnerabilidades, con métricas que saben quiénes son sus padres (GQM) y pasan el filtro PRAGMATIC”.[web:3][web:23][web:36][web:43][web:48]</w:t>
      </w:r>
    </w:p>
    <w:p>
      <w:pPr>
        <w:pStyle w:val="Heading2"/>
        <w:keepNext/>
        <w:keepLines/>
      </w:pPr>
      <w:r>
        <w:rPr>
          <w:color w:val="0066CC"/>
        </w:rPr>
        <w:t>Diapositiva 3 – Metas GQM nacionales</w:t>
      </w:r>
    </w:p>
    <w:p>
      <w:pPr>
        <w:pStyle w:val="ListBullet"/>
        <w:keepLines w:val="1"/>
        <w:keepNext w:val="1"/>
        <w:widowControl w:val="1"/>
      </w:pPr>
      <w:r>
        <w:t>Lista breve de G1–G4:</w:t>
      </w:r>
    </w:p>
    <w:p>
      <w:pPr>
        <w:pStyle w:val="ListBullet"/>
        <w:keepLines w:val="1"/>
        <w:keepNext w:val="1"/>
        <w:widowControl w:val="1"/>
      </w:pPr>
      <w:r>
        <w:t>G1 Cobertura.</w:t>
      </w:r>
    </w:p>
    <w:p>
      <w:pPr>
        <w:pStyle w:val="ListBullet"/>
        <w:keepLines w:val="1"/>
        <w:keepNext w:val="1"/>
        <w:widowControl w:val="1"/>
      </w:pPr>
      <w:r>
        <w:t>G2 Calidad del análisis.</w:t>
      </w:r>
    </w:p>
    <w:p>
      <w:pPr>
        <w:pStyle w:val="ListBullet"/>
        <w:keepLines w:val="1"/>
        <w:keepNext w:val="1"/>
        <w:widowControl w:val="1"/>
      </w:pPr>
      <w:r>
        <w:t>G3 Gestión y resiliencia.</w:t>
      </w:r>
    </w:p>
    <w:p>
      <w:pPr>
        <w:pStyle w:val="ListBullet"/>
        <w:keepLines w:val="1"/>
        <w:keepNext w:val="1"/>
        <w:widowControl w:val="1"/>
      </w:pPr>
      <w:r>
        <w:t>G4 Valor y sostenibilidad.[web:3][web:16][web:18][web:23][web:36]</w:t>
      </w:r>
    </w:p>
    <w:p>
      <w:pPr>
        <w:pStyle w:val="ListBullet"/>
        <w:keepLines w:val="1"/>
        <w:widowControl w:val="1"/>
      </w:pPr>
      <w:r>
        <w:t>Nota: alineación con NIS2 y ENISA.</w:t>
      </w:r>
    </w:p>
    <w:p>
      <w:pPr>
        <w:pStyle w:val="Heading2"/>
        <w:keepNext/>
        <w:keepLines/>
      </w:pPr>
      <w:r>
        <w:rPr>
          <w:color w:val="0066CC"/>
        </w:rPr>
        <w:t>Diapositiva 4 – De las metas a las métricas (GQM)</w:t>
      </w:r>
    </w:p>
    <w:p>
      <w:pPr>
        <w:pStyle w:val="ListBullet"/>
        <w:keepLines w:val="1"/>
        <w:keepNext w:val="1"/>
        <w:widowControl w:val="1"/>
      </w:pPr>
      <w:r>
        <w:t>Esquema visual: Meta → Preguntas clave → Métricas (ejemplo con TTR o % de sistemas cubiertos).[web:43][web:45]</w:t>
      </w:r>
    </w:p>
    <w:p>
      <w:pPr>
        <w:pStyle w:val="ListBullet"/>
        <w:keepLines w:val="1"/>
        <w:widowControl w:val="1"/>
      </w:pPr>
      <w:r>
        <w:t>Reforzar la idea de trazabilidad: ningún indicador “de adorno”.</w:t>
      </w:r>
    </w:p>
    <w:p>
      <w:pPr>
        <w:pStyle w:val="Heading2"/>
        <w:keepNext/>
        <w:keepLines/>
      </w:pPr>
      <w:r>
        <w:rPr>
          <w:color w:val="0066CC"/>
        </w:rPr>
        <w:t>Diapositiva 5 – PRAGMATIC: filtros de calidad de métricas</w:t>
      </w:r>
    </w:p>
    <w:p>
      <w:pPr>
        <w:pStyle w:val="ListBullet"/>
        <w:keepLines w:val="1"/>
        <w:keepNext w:val="1"/>
        <w:widowControl w:val="1"/>
      </w:pPr>
      <w:r>
        <w:t>Recordatorio del acrónimo: Predictive, Relevant, Actionable, Genuine, Meaningful, Accurate, Timely, Independent, Cost‑effective.[web:42][web:44][web:48]</w:t>
      </w:r>
    </w:p>
    <w:p>
      <w:pPr>
        <w:pStyle w:val="ListBullet"/>
        <w:keepLines w:val="1"/>
        <w:widowControl w:val="1"/>
      </w:pPr>
      <w:r>
        <w:t>Gráfico sencillo mostrando 2–3 métricas “estrella” y 1–2 métricas a utilizar con cautela (por ejemplo, ROI).</w:t>
      </w:r>
    </w:p>
    <w:p>
      <w:pPr>
        <w:pStyle w:val="Heading2"/>
        <w:keepNext/>
        <w:keepLines/>
      </w:pPr>
      <w:r>
        <w:rPr>
          <w:color w:val="0066CC"/>
        </w:rPr>
        <w:t>Diapositiva 6 – IGM global y por meta</w:t>
      </w:r>
    </w:p>
    <w:p>
      <w:pPr>
        <w:pStyle w:val="ListBullet"/>
        <w:keepLines w:val="1"/>
        <w:keepNext w:val="1"/>
        <w:widowControl w:val="1"/>
      </w:pPr>
      <w:r>
        <w:t>Gráfico tipo barras o radar:</w:t>
      </w:r>
    </w:p>
    <w:p>
      <w:pPr>
        <w:pStyle w:val="ListBullet"/>
        <w:keepLines w:val="1"/>
        <w:keepNext w:val="1"/>
        <w:widowControl w:val="1"/>
      </w:pPr>
      <w:r>
        <w:t>IGM global.</w:t>
      </w:r>
    </w:p>
    <w:p>
      <w:pPr>
        <w:pStyle w:val="ListBullet"/>
        <w:keepLines w:val="1"/>
        <w:keepNext w:val="1"/>
        <w:widowControl w:val="1"/>
      </w:pPr>
      <w:r>
        <w:t>IGM por meta GQM (G1–G4).[web:23][web:36]</w:t>
      </w:r>
    </w:p>
    <w:p>
      <w:pPr>
        <w:pStyle w:val="ListBullet"/>
        <w:keepLines w:val="1"/>
        <w:keepNext w:val="1"/>
        <w:widowControl w:val="1"/>
      </w:pPr>
      <w:r>
        <w:t>Comentarios:</w:t>
      </w:r>
    </w:p>
    <w:p>
      <w:pPr>
        <w:pStyle w:val="ListBullet"/>
        <w:keepLines w:val="1"/>
        <w:keepNext w:val="1"/>
        <w:widowControl w:val="1"/>
      </w:pPr>
      <w:r>
        <w:t>Metas fuertes.</w:t>
      </w:r>
    </w:p>
    <w:p>
      <w:pPr>
        <w:pStyle w:val="ListBullet"/>
        <w:keepLines w:val="1"/>
        <w:widowControl w:val="1"/>
      </w:pPr>
      <w:r>
        <w:t>Metas con margen de mejora.</w:t>
      </w:r>
    </w:p>
    <w:p>
      <w:pPr>
        <w:pStyle w:val="Heading2"/>
        <w:keepNext/>
        <w:keepLines/>
      </w:pPr>
      <w:r>
        <w:rPr>
          <w:color w:val="0066CC"/>
        </w:rPr>
        <w:t>Diapositiva 7 – Cobertura (G1)</w:t>
      </w:r>
    </w:p>
    <w:p>
      <w:pPr>
        <w:pStyle w:val="ListBullet"/>
        <w:keepLines w:val="1"/>
        <w:keepNext w:val="1"/>
        <w:widowControl w:val="1"/>
      </w:pPr>
      <w:r>
        <w:t>Métricas destacadas:</w:t>
      </w:r>
    </w:p>
    <w:p>
      <w:pPr>
        <w:pStyle w:val="ListBullet"/>
        <w:keepLines w:val="1"/>
        <w:keepNext w:val="1"/>
        <w:widowControl w:val="1"/>
      </w:pPr>
      <w:r>
        <w:t>M1.1 % sistemas esenciales con análisis híbrido.</w:t>
      </w:r>
    </w:p>
    <w:p>
      <w:pPr>
        <w:pStyle w:val="ListBullet"/>
        <w:keepLines w:val="1"/>
        <w:keepNext w:val="1"/>
        <w:widowControl w:val="1"/>
      </w:pPr>
      <w:r>
        <w:t>M1.2 Índice de cobertura de activos críticos.[web:3][web:16][web:23][web:36]</w:t>
      </w:r>
    </w:p>
    <w:p>
      <w:pPr>
        <w:pStyle w:val="ListBullet"/>
        <w:keepLines w:val="1"/>
        <w:keepNext w:val="1"/>
        <w:widowControl w:val="1"/>
      </w:pPr>
      <w:r>
        <w:t>Comparación con benchmark sectorial / nacional.</w:t>
      </w:r>
    </w:p>
    <w:p>
      <w:pPr>
        <w:pStyle w:val="ListBullet"/>
        <w:keepLines w:val="1"/>
        <w:widowControl w:val="1"/>
      </w:pPr>
      <w:r>
        <w:t>Mensaje: “todo lo que no está bajo HyVAW es, en la práctica, terreno de nadie”.</w:t>
      </w:r>
    </w:p>
    <w:p>
      <w:pPr>
        <w:pStyle w:val="Heading2"/>
        <w:keepNext/>
        <w:keepLines/>
      </w:pPr>
      <w:r>
        <w:rPr>
          <w:color w:val="0066CC"/>
        </w:rPr>
        <w:t>Diapositiva 8 – Calidad del análisis (G2)</w:t>
      </w:r>
    </w:p>
    <w:p>
      <w:pPr>
        <w:pStyle w:val="ListBullet"/>
        <w:keepLines w:val="1"/>
        <w:keepNext w:val="1"/>
        <w:widowControl w:val="1"/>
      </w:pPr>
      <w:r>
        <w:t>Métricas:</w:t>
      </w:r>
    </w:p>
    <w:p>
      <w:pPr>
        <w:pStyle w:val="ListBullet"/>
        <w:keepLines w:val="1"/>
        <w:keepNext w:val="1"/>
        <w:widowControl w:val="1"/>
      </w:pPr>
      <w:r>
        <w:t>M2.1 Tasa de falsos positivos críticos.</w:t>
      </w:r>
    </w:p>
    <w:p>
      <w:pPr>
        <w:pStyle w:val="ListBullet"/>
        <w:keepLines w:val="1"/>
        <w:keepNext w:val="1"/>
        <w:widowControl w:val="1"/>
      </w:pPr>
      <w:r>
        <w:t>M2.2 % vulnerabilidades críticas confirmadas dinámicamente.[web:8][web:24]</w:t>
      </w:r>
    </w:p>
    <w:p>
      <w:pPr>
        <w:pStyle w:val="ListBullet"/>
        <w:keepLines w:val="1"/>
        <w:keepNext w:val="1"/>
        <w:widowControl w:val="1"/>
      </w:pPr>
      <w:r>
        <w:t>PRAGMATIC mini‑panel para estas métricas.</w:t>
      </w:r>
    </w:p>
    <w:p>
      <w:pPr>
        <w:pStyle w:val="ListBullet"/>
        <w:keepLines w:val="1"/>
        <w:widowControl w:val="1"/>
      </w:pPr>
      <w:r>
        <w:t>Mensaje: “más hallazgos no es lo mismo que mejor seguridad”.</w:t>
      </w:r>
    </w:p>
    <w:p>
      <w:pPr>
        <w:pStyle w:val="Heading2"/>
        <w:keepNext/>
        <w:keepLines/>
      </w:pPr>
      <w:r>
        <w:rPr>
          <w:color w:val="0066CC"/>
        </w:rPr>
        <w:t>Diapositiva 9 – Gestión y resiliencia (G3)</w:t>
      </w:r>
    </w:p>
    <w:p>
      <w:pPr>
        <w:pStyle w:val="ListBullet"/>
        <w:keepLines w:val="1"/>
        <w:keepNext w:val="1"/>
        <w:widowControl w:val="1"/>
      </w:pPr>
      <w:r>
        <w:t>Métricas:</w:t>
      </w:r>
    </w:p>
    <w:p>
      <w:pPr>
        <w:pStyle w:val="ListBullet"/>
        <w:keepLines w:val="1"/>
        <w:keepNext w:val="1"/>
        <w:widowControl w:val="1"/>
      </w:pPr>
      <w:r>
        <w:t>M3.1 TTR vulnerabilidades críticas.</w:t>
      </w:r>
    </w:p>
    <w:p>
      <w:pPr>
        <w:pStyle w:val="ListBullet"/>
        <w:keepLines w:val="1"/>
        <w:keepNext w:val="1"/>
        <w:widowControl w:val="1"/>
      </w:pPr>
      <w:r>
        <w:t>M3.2 Cumplimiento plazos.</w:t>
      </w:r>
    </w:p>
    <w:p>
      <w:pPr>
        <w:pStyle w:val="ListBullet"/>
        <w:keepLines w:val="1"/>
        <w:keepNext w:val="1"/>
        <w:widowControl w:val="1"/>
      </w:pPr>
      <w:r>
        <w:t>M3.3 Incidentes por vulnerabilidad conocida.[web:19][web:23][web:32][web:36]</w:t>
      </w:r>
    </w:p>
    <w:p>
      <w:pPr>
        <w:pStyle w:val="ListBullet"/>
        <w:keepLines w:val="1"/>
        <w:keepNext w:val="1"/>
        <w:widowControl w:val="1"/>
      </w:pPr>
      <w:r>
        <w:t>Relación con exigencias NIS2.</w:t>
      </w:r>
    </w:p>
    <w:p>
      <w:pPr>
        <w:pStyle w:val="ListBullet"/>
        <w:keepLines w:val="1"/>
        <w:widowControl w:val="1"/>
      </w:pPr>
      <w:r>
        <w:t>Mensaje: “el riesgo que más duele es el que se conocía y no se trató”.</w:t>
      </w:r>
    </w:p>
    <w:p>
      <w:pPr>
        <w:pStyle w:val="Heading2"/>
        <w:keepNext/>
        <w:keepLines/>
      </w:pPr>
      <w:r>
        <w:rPr>
          <w:color w:val="0066CC"/>
        </w:rPr>
        <w:t>Diapositiva 10 – Valor y sostenibilidad (G4)</w:t>
      </w:r>
    </w:p>
    <w:p>
      <w:pPr>
        <w:pStyle w:val="ListBullet"/>
        <w:keepLines w:val="1"/>
        <w:keepNext w:val="1"/>
        <w:widowControl w:val="1"/>
      </w:pPr>
      <w:r>
        <w:t>Métricas:</w:t>
      </w:r>
    </w:p>
    <w:p>
      <w:pPr>
        <w:pStyle w:val="ListBullet"/>
        <w:keepLines w:val="1"/>
        <w:keepNext w:val="1"/>
        <w:widowControl w:val="1"/>
      </w:pPr>
      <w:r>
        <w:t>M4.1 Coste HyVAW / sistema.</w:t>
      </w:r>
    </w:p>
    <w:p>
      <w:pPr>
        <w:pStyle w:val="ListBullet"/>
        <w:keepLines w:val="1"/>
        <w:keepNext w:val="1"/>
        <w:widowControl w:val="1"/>
      </w:pPr>
      <w:r>
        <w:t>M4.2 Reducción de incidentes.</w:t>
      </w:r>
    </w:p>
    <w:p>
      <w:pPr>
        <w:pStyle w:val="ListBullet"/>
        <w:keepLines w:val="1"/>
        <w:keepNext w:val="1"/>
        <w:widowControl w:val="1"/>
      </w:pPr>
      <w:r>
        <w:t>M4.3 ROI aproximado.[web:19][web:32][web:48]</w:t>
      </w:r>
    </w:p>
    <w:p>
      <w:pPr>
        <w:pStyle w:val="ListBullet"/>
        <w:keepLines w:val="1"/>
        <w:keepNext w:val="1"/>
        <w:widowControl w:val="1"/>
      </w:pPr>
      <w:r>
        <w:t>Advertencia sobre supuestos del ROI.</w:t>
      </w:r>
    </w:p>
    <w:p>
      <w:pPr>
        <w:pStyle w:val="ListBullet"/>
        <w:keepLines w:val="1"/>
        <w:widowControl w:val="1"/>
      </w:pPr>
      <w:r>
        <w:t>Mensaje: “no se trata solo de gastar más, sino de gastar mejor”.</w:t>
      </w:r>
    </w:p>
    <w:p>
      <w:pPr>
        <w:pStyle w:val="Heading2"/>
        <w:keepNext/>
        <w:keepLines/>
      </w:pPr>
      <w:r>
        <w:rPr>
          <w:color w:val="0066CC"/>
        </w:rPr>
        <w:t>Diapositiva 11 – Priorización de acciones</w:t>
      </w:r>
    </w:p>
    <w:p>
      <w:pPr>
        <w:pStyle w:val="ListBullet"/>
        <w:keepLines w:val="1"/>
        <w:keepNext w:val="1"/>
        <w:widowControl w:val="1"/>
      </w:pPr>
      <w:r>
        <w:t>Cruzar:</w:t>
      </w:r>
    </w:p>
    <w:p>
      <w:pPr>
        <w:pStyle w:val="ListBullet"/>
        <w:keepLines w:val="1"/>
        <w:keepNext w:val="1"/>
        <w:widowControl w:val="1"/>
      </w:pPr>
      <w:r>
        <w:t>Metas con menor IGM.</w:t>
      </w:r>
    </w:p>
    <w:p>
      <w:pPr>
        <w:pStyle w:val="ListBullet"/>
        <w:keepLines w:val="1"/>
        <w:keepNext w:val="1"/>
        <w:widowControl w:val="1"/>
      </w:pPr>
      <w:r>
        <w:t>Métricas con alta relevancia y alta puntuación PRAGMATIC.</w:t>
      </w:r>
    </w:p>
    <w:p>
      <w:pPr>
        <w:pStyle w:val="ListBullet"/>
        <w:keepLines w:val="1"/>
        <w:keepNext w:val="1"/>
        <w:widowControl w:val="1"/>
      </w:pPr>
      <w:r>
        <w:t>Lista de 3–5 acciones concretas (ejemplos):</w:t>
      </w:r>
    </w:p>
    <w:p>
      <w:pPr>
        <w:pStyle w:val="ListBullet"/>
        <w:keepLines w:val="1"/>
        <w:keepNext w:val="1"/>
        <w:widowControl w:val="1"/>
      </w:pPr>
      <w:r>
        <w:t>Aumentar cobertura híbrida en sectores X e Y.</w:t>
      </w:r>
    </w:p>
    <w:p>
      <w:pPr>
        <w:pStyle w:val="ListBullet"/>
        <w:keepLines w:val="1"/>
        <w:keepNext w:val="1"/>
        <w:widowControl w:val="1"/>
      </w:pPr>
      <w:r>
        <w:t>Mejorar medición de falsos positivos.</w:t>
      </w:r>
    </w:p>
    <w:p>
      <w:pPr>
        <w:pStyle w:val="ListBullet"/>
        <w:keepLines w:val="1"/>
        <w:keepNext w:val="1"/>
        <w:widowControl w:val="1"/>
      </w:pPr>
      <w:r>
        <w:t>Reducir TTR críticos por debajo de N días.</w:t>
      </w:r>
    </w:p>
    <w:p>
      <w:pPr>
        <w:pStyle w:val="ListBullet"/>
        <w:keepLines w:val="1"/>
        <w:widowControl w:val="1"/>
      </w:pPr>
      <w:r>
        <w:t>Fortalecer análisis post‑incidente para identificar vulnerabilidades conocidas.[web:18][web:23][web:32][web:36][web:48]</w:t>
      </w:r>
    </w:p>
    <w:p>
      <w:pPr>
        <w:pStyle w:val="Heading2"/>
        <w:keepNext/>
        <w:keepLines/>
      </w:pPr>
      <w:r>
        <w:rPr>
          <w:color w:val="0066CC"/>
        </w:rPr>
        <w:t>Diapositiva 12 – Roadmap y seguimiento</w:t>
      </w:r>
    </w:p>
    <w:p>
      <w:pPr>
        <w:pStyle w:val="ListBullet"/>
        <w:keepLines w:val="1"/>
        <w:keepNext w:val="1"/>
        <w:widowControl w:val="1"/>
      </w:pPr>
      <w:r>
        <w:t>Propuesta de:</w:t>
      </w:r>
    </w:p>
    <w:p>
      <w:pPr>
        <w:pStyle w:val="ListBullet"/>
        <w:keepLines w:val="1"/>
        <w:keepNext w:val="1"/>
        <w:widowControl w:val="1"/>
      </w:pPr>
      <w:r>
        <w:t>Nueva medición en 12–24 meses.</w:t>
      </w:r>
    </w:p>
    <w:p>
      <w:pPr>
        <w:pStyle w:val="ListBullet"/>
        <w:keepLines w:val="1"/>
        <w:keepNext w:val="1"/>
        <w:widowControl w:val="1"/>
      </w:pPr>
      <w:r>
        <w:t>Ajuste de métricas y pesos según experiencia.</w:t>
      </w:r>
    </w:p>
    <w:p>
      <w:pPr>
        <w:pStyle w:val="ListBullet"/>
        <w:keepLines w:val="1"/>
        <w:widowControl w:val="1"/>
      </w:pPr>
      <w:r>
        <w:t>Integración con reportes a autoridades NIS2 y con informes INCIBE/ENISA.[web:23][web:31][web:36]</w:t>
      </w:r>
    </w:p>
    <w:p>
      <w:pPr>
        <w:pStyle w:val="Heading2"/>
        <w:keepNext/>
        <w:keepLines/>
      </w:pPr>
      <w:r>
        <w:rPr>
          <w:color w:val="0066CC"/>
        </w:rPr>
        <w:t>Diapositiva 13 – Cierre</w:t>
      </w:r>
    </w:p>
    <w:p>
      <w:pPr>
        <w:pStyle w:val="ListBullet"/>
        <w:keepLines w:val="1"/>
        <w:keepNext w:val="1"/>
        <w:widowControl w:val="1"/>
      </w:pPr>
      <w:r>
        <w:t>Recordatorio:</w:t>
      </w:r>
    </w:p>
    <w:p>
      <w:pPr>
        <w:pStyle w:val="ListBullet"/>
        <w:keepLines w:val="1"/>
        <w:keepNext w:val="1"/>
        <w:widowControl w:val="1"/>
      </w:pPr>
      <w:r>
        <w:t>“Lo que no se mide no se gestiona”.</w:t>
      </w:r>
    </w:p>
    <w:p>
      <w:pPr>
        <w:pStyle w:val="ListBullet"/>
        <w:keepLines w:val="1"/>
        <w:keepNext w:val="1"/>
        <w:widowControl w:val="1"/>
      </w:pPr>
      <w:r>
        <w:t>“Lo que se mide mal se gestiona peor”.</w:t>
      </w:r>
    </w:p>
    <w:p>
      <w:pPr>
        <w:pStyle w:val="ListBullet"/>
        <w:keepLines w:val="1"/>
        <w:widowControl w:val="1"/>
      </w:pPr>
      <w:r>
        <w:t>Invitación a mantener vivo el marco GQM + PRAGMATIC como parte de la gobernanza habitual, no como proyecto puntual.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