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HyVAW-NIS2 (esquema para PowerPoint)</w:t>
      </w:r>
    </w:p>
    <w:p>
      <w:r>
        <w:t>Esta plantilla describe el contenido sugerido de una presentación ejecutiva basada en los resultados de la Encuesta HyVAW.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“Estado de la Gestión Híbrida de Vulnerabilidades (HyVAW) y NIS2”</w:t>
      </w:r>
    </w:p>
    <w:p>
      <w:pPr>
        <w:pStyle w:val="ListBullet"/>
        <w:keepLines w:val="1"/>
        <w:keepNext w:val="1"/>
        <w:widowControl w:val="1"/>
      </w:pPr>
      <w:r>
        <w:t>Subtítulo: “Resultados de la Encuesta en [Organización / Sector / País]”</w:t>
      </w:r>
    </w:p>
    <w:p>
      <w:pPr>
        <w:pStyle w:val="ListBullet"/>
        <w:keepLines w:val="1"/>
        <w:keepNext w:val="1"/>
        <w:widowControl w:val="1"/>
      </w:pPr>
      <w:r>
        <w:t>Fecha</w:t>
      </w:r>
    </w:p>
    <w:p>
      <w:pPr>
        <w:pStyle w:val="ListBullet"/>
        <w:keepLines w:val="1"/>
        <w:widowControl w:val="1"/>
      </w:pPr>
      <w:r>
        <w:t>Logotipos relevantes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3–5 mensajes clave:</w:t>
      </w:r>
    </w:p>
    <w:p>
      <w:pPr>
        <w:pStyle w:val="ListBullet"/>
        <w:keepLines w:val="1"/>
        <w:keepNext w:val="1"/>
        <w:widowControl w:val="1"/>
      </w:pPr>
      <w:r>
        <w:t>Nivel global de madurez (IGM) y posición respecto al sector.</w:t>
      </w:r>
    </w:p>
    <w:p>
      <w:pPr>
        <w:pStyle w:val="ListBullet"/>
        <w:keepLines w:val="1"/>
        <w:keepNext w:val="1"/>
        <w:widowControl w:val="1"/>
      </w:pPr>
      <w:r>
        <w:t>Principales fortalezas (bloques con puntuación alta).</w:t>
      </w:r>
    </w:p>
    <w:p>
      <w:pPr>
        <w:pStyle w:val="ListBullet"/>
        <w:keepLines w:val="1"/>
        <w:keepNext w:val="1"/>
        <w:widowControl w:val="1"/>
      </w:pPr>
      <w:r>
        <w:t>Principales debilidades o brechas.</w:t>
      </w:r>
    </w:p>
    <w:p>
      <w:pPr>
        <w:pStyle w:val="ListBullet"/>
        <w:keepLines w:val="1"/>
        <w:widowControl w:val="1"/>
      </w:pPr>
      <w:r>
        <w:t>Implicaciones para NIS2 y para la resiliencia.[web:23][web:32][web:36]</w:t>
      </w:r>
    </w:p>
    <w:p>
      <w:pPr>
        <w:pStyle w:val="Heading2"/>
        <w:keepNext/>
        <w:keepLines/>
      </w:pPr>
      <w:r>
        <w:rPr>
          <w:color w:val="0066CC"/>
        </w:rPr>
        <w:t>Diapositiva 3 – Metodología en dos minutos</w:t>
      </w:r>
    </w:p>
    <w:p>
      <w:pPr>
        <w:pStyle w:val="ListBullet"/>
        <w:keepLines w:val="1"/>
        <w:keepNext w:val="1"/>
        <w:widowControl w:val="1"/>
      </w:pPr>
      <w:r>
        <w:t>Breve explicación de HyVAW y del concepto de análisis híbrido.[web:3][web:16]</w:t>
      </w:r>
    </w:p>
    <w:p>
      <w:pPr>
        <w:pStyle w:val="ListBullet"/>
        <w:keepLines w:val="1"/>
        <w:keepNext w:val="1"/>
        <w:widowControl w:val="1"/>
      </w:pPr>
      <w:r>
        <w:t>Referencia a NIS2 y guía ENISA como marco normativo.[web:23][web:36]</w:t>
      </w:r>
    </w:p>
    <w:p>
      <w:pPr>
        <w:pStyle w:val="ListBullet"/>
        <w:keepLines w:val="1"/>
        <w:widowControl w:val="1"/>
      </w:pPr>
      <w:r>
        <w:t>Mención al cuestionario y al cálculo del IGM.</w:t>
      </w:r>
    </w:p>
    <w:p>
      <w:pPr>
        <w:pStyle w:val="Heading2"/>
        <w:keepNext/>
        <w:keepLines/>
      </w:pPr>
      <w:r>
        <w:rPr>
          <w:color w:val="0066CC"/>
        </w:rPr>
        <w:t>Diapositiva 4 – Perfil de la muestra</w:t>
      </w:r>
    </w:p>
    <w:p>
      <w:pPr>
        <w:pStyle w:val="ListBullet"/>
        <w:keepLines w:val="1"/>
        <w:keepNext w:val="1"/>
        <w:widowControl w:val="1"/>
      </w:pPr>
      <w:r>
        <w:t>Sector, tamaño, rol de respondentes.</w:t>
      </w:r>
    </w:p>
    <w:p>
      <w:pPr>
        <w:pStyle w:val="ListBullet"/>
        <w:keepLines w:val="1"/>
        <w:widowControl w:val="1"/>
      </w:pPr>
      <w:r>
        <w:t>Si el informe es interno, puede sustituirse por descripción de áreas o unidades analizadas.[web:21][web:32]</w:t>
      </w:r>
    </w:p>
    <w:p>
      <w:pPr>
        <w:pStyle w:val="Heading2"/>
        <w:keepNext/>
        <w:keepLines/>
      </w:pPr>
      <w:r>
        <w:rPr>
          <w:color w:val="0066CC"/>
        </w:rPr>
        <w:t>Diapositiva 5 – Índice Global de Madurez (IGM)</w:t>
      </w:r>
    </w:p>
    <w:p>
      <w:pPr>
        <w:pStyle w:val="ListBullet"/>
        <w:keepLines w:val="1"/>
        <w:keepNext w:val="1"/>
        <w:widowControl w:val="1"/>
      </w:pPr>
      <w:r>
        <w:t>Gráfico con IGM global y comparación con media del sector o benchmark.</w:t>
      </w:r>
    </w:p>
    <w:p>
      <w:pPr>
        <w:pStyle w:val="ListBullet"/>
        <w:keepLines w:val="1"/>
        <w:widowControl w:val="1"/>
      </w:pPr>
      <w:r>
        <w:t>Rango de clasificación (incipiente, básica, intermedia, avanzada, líder).[web:23][web:36]</w:t>
      </w:r>
    </w:p>
    <w:p>
      <w:pPr>
        <w:pStyle w:val="Heading2"/>
        <w:keepNext/>
        <w:keepLines/>
      </w:pPr>
      <w:r>
        <w:rPr>
          <w:color w:val="0066CC"/>
        </w:rPr>
        <w:t>Diapositiva 6 – Madurez por bloques</w:t>
      </w:r>
    </w:p>
    <w:p>
      <w:pPr>
        <w:pStyle w:val="ListBullet"/>
        <w:keepLines w:val="1"/>
        <w:keepNext w:val="1"/>
        <w:widowControl w:val="1"/>
      </w:pPr>
      <w:r>
        <w:t>Gráfico tipo radar o barras con índices por bloque: Inventario, Flujo híbrido, Métricas, Gestión, NIS2, Resultados, ROI.[web:23][web:36]</w:t>
      </w:r>
    </w:p>
    <w:p>
      <w:pPr>
        <w:pStyle w:val="ListBullet"/>
        <w:keepLines w:val="1"/>
        <w:widowControl w:val="1"/>
      </w:pPr>
      <w:r>
        <w:t>Comentarios breves por bloque (fortalezas, puntos débiles).</w:t>
      </w:r>
    </w:p>
    <w:p>
      <w:pPr>
        <w:pStyle w:val="Heading2"/>
        <w:keepNext/>
        <w:keepLines/>
      </w:pPr>
      <w:r>
        <w:rPr>
          <w:color w:val="0066CC"/>
        </w:rPr>
        <w:t>Diapositiva 7 – Flujo híbrido de análisis</w:t>
      </w:r>
    </w:p>
    <w:p>
      <w:pPr>
        <w:pStyle w:val="ListBullet"/>
        <w:keepLines w:val="1"/>
        <w:keepNext w:val="1"/>
        <w:widowControl w:val="1"/>
      </w:pPr>
      <w:r>
        <w:t>Resumen de resultados del bloque 2:</w:t>
      </w:r>
    </w:p>
    <w:p>
      <w:pPr>
        <w:pStyle w:val="ListBullet"/>
        <w:keepLines w:val="1"/>
        <w:keepNext w:val="1"/>
        <w:widowControl w:val="1"/>
      </w:pPr>
      <w:r>
        <w:t>Existencia (o no) de flujo híbrido.</w:t>
      </w:r>
    </w:p>
    <w:p>
      <w:pPr>
        <w:pStyle w:val="ListBullet"/>
        <w:keepLines w:val="1"/>
        <w:keepNext w:val="1"/>
        <w:widowControl w:val="1"/>
      </w:pPr>
      <w:r>
        <w:t>Cobertura y frecuencia.</w:t>
      </w:r>
    </w:p>
    <w:p>
      <w:pPr>
        <w:pStyle w:val="ListBullet"/>
        <w:keepLines w:val="1"/>
        <w:widowControl w:val="1"/>
      </w:pPr>
      <w:r>
        <w:t>Uso de metodologías específicas (HyVAW, etc.).[web:3][web:8][web:19]</w:t>
      </w:r>
    </w:p>
    <w:p>
      <w:pPr>
        <w:pStyle w:val="Heading2"/>
        <w:keepNext/>
        <w:keepLines/>
      </w:pPr>
      <w:r>
        <w:rPr>
          <w:color w:val="0066CC"/>
        </w:rPr>
        <w:t>Diapositiva 8 – Métricas de calidad y falsos positivos</w:t>
      </w:r>
    </w:p>
    <w:p>
      <w:pPr>
        <w:pStyle w:val="ListBullet"/>
        <w:keepLines w:val="1"/>
        <w:keepNext w:val="1"/>
        <w:widowControl w:val="1"/>
      </w:pPr>
      <w:r>
        <w:t>Gráfico o cuadro con:</w:t>
      </w:r>
    </w:p>
    <w:p>
      <w:pPr>
        <w:pStyle w:val="ListBullet"/>
        <w:keepLines w:val="1"/>
        <w:keepNext w:val="1"/>
        <w:widowControl w:val="1"/>
      </w:pPr>
      <w:r>
        <w:t>Medición de falsos positivos.</w:t>
      </w:r>
    </w:p>
    <w:p>
      <w:pPr>
        <w:pStyle w:val="ListBullet"/>
        <w:keepLines w:val="1"/>
        <w:keepNext w:val="1"/>
        <w:widowControl w:val="1"/>
      </w:pPr>
      <w:r>
        <w:t>Cobertura frente al inventario.</w:t>
      </w:r>
    </w:p>
    <w:p>
      <w:pPr>
        <w:pStyle w:val="ListBullet"/>
        <w:keepLines w:val="1"/>
        <w:widowControl w:val="1"/>
      </w:pPr>
      <w:r>
        <w:t>Grado de correlación vulnerabilidades–incidentes.[web:8][web:24][web:32]</w:t>
      </w:r>
    </w:p>
    <w:p>
      <w:pPr>
        <w:pStyle w:val="Heading2"/>
        <w:keepNext/>
        <w:keepLines/>
      </w:pPr>
      <w:r>
        <w:rPr>
          <w:color w:val="0066CC"/>
        </w:rPr>
        <w:t>Diapositiva 9 – Integración con NIS2</w:t>
      </w:r>
    </w:p>
    <w:p>
      <w:pPr>
        <w:pStyle w:val="ListBullet"/>
        <w:keepLines w:val="1"/>
        <w:keepNext w:val="1"/>
        <w:widowControl w:val="1"/>
      </w:pPr>
      <w:r>
        <w:t>Nivel de avance en:</w:t>
      </w:r>
    </w:p>
    <w:p>
      <w:pPr>
        <w:pStyle w:val="ListBullet"/>
        <w:keepLines w:val="1"/>
        <w:keepNext w:val="1"/>
        <w:widowControl w:val="1"/>
      </w:pPr>
      <w:r>
        <w:t>Análisis de brecha NIS2.</w:t>
      </w:r>
    </w:p>
    <w:p>
      <w:pPr>
        <w:pStyle w:val="ListBullet"/>
        <w:keepLines w:val="1"/>
        <w:keepNext w:val="1"/>
        <w:widowControl w:val="1"/>
      </w:pPr>
      <w:r>
        <w:t>Uso de evidencias técnicas para cumplimiento.</w:t>
      </w:r>
    </w:p>
    <w:p>
      <w:pPr>
        <w:pStyle w:val="ListBullet"/>
        <w:keepLines w:val="1"/>
        <w:widowControl w:val="1"/>
      </w:pPr>
      <w:r>
        <w:t>Asignación de responsabilidades a la alta dirección.[web:23][web:33][web:36]</w:t>
      </w:r>
    </w:p>
    <w:p>
      <w:pPr>
        <w:pStyle w:val="Heading2"/>
        <w:keepNext/>
        <w:keepLines/>
      </w:pPr>
      <w:r>
        <w:rPr>
          <w:color w:val="0066CC"/>
        </w:rPr>
        <w:t>Diapositiva 10 – Incidentes y resiliencia</w:t>
      </w:r>
    </w:p>
    <w:p>
      <w:pPr>
        <w:pStyle w:val="ListBullet"/>
        <w:keepLines w:val="1"/>
        <w:keepNext w:val="1"/>
        <w:widowControl w:val="1"/>
      </w:pPr>
      <w:r>
        <w:t>Relación entre madurez HyVAW y:</w:t>
      </w:r>
    </w:p>
    <w:p>
      <w:pPr>
        <w:pStyle w:val="ListBullet"/>
        <w:keepLines w:val="1"/>
        <w:keepNext w:val="1"/>
        <w:widowControl w:val="1"/>
      </w:pPr>
      <w:r>
        <w:t>Número de incidentes significativos.</w:t>
      </w:r>
    </w:p>
    <w:p>
      <w:pPr>
        <w:pStyle w:val="ListBullet"/>
        <w:keepLines w:val="1"/>
        <w:keepNext w:val="1"/>
        <w:widowControl w:val="1"/>
      </w:pPr>
      <w:r>
        <w:t>Tipos de incidentes más frecuentes.</w:t>
      </w:r>
    </w:p>
    <w:p>
      <w:pPr>
        <w:pStyle w:val="ListBullet"/>
        <w:keepLines w:val="1"/>
        <w:widowControl w:val="1"/>
      </w:pPr>
      <w:r>
        <w:t>Impacto en servicios esenciales.[web:31][web:32][web:34]</w:t>
      </w:r>
    </w:p>
    <w:p>
      <w:pPr>
        <w:pStyle w:val="Heading2"/>
        <w:keepNext/>
        <w:keepLines/>
      </w:pPr>
      <w:r>
        <w:rPr>
          <w:color w:val="0066CC"/>
        </w:rPr>
        <w:t>Diapositiva 11 – ROI y decisiones estratégicas</w:t>
      </w:r>
    </w:p>
    <w:p>
      <w:pPr>
        <w:pStyle w:val="ListBullet"/>
        <w:keepLines w:val="1"/>
        <w:keepNext w:val="1"/>
        <w:widowControl w:val="1"/>
      </w:pPr>
      <w:r>
        <w:t>Síntesis de indicadores de ROI:</w:t>
      </w:r>
    </w:p>
    <w:p>
      <w:pPr>
        <w:pStyle w:val="ListBullet"/>
        <w:keepLines w:val="1"/>
        <w:keepNext w:val="1"/>
        <w:widowControl w:val="1"/>
      </w:pPr>
      <w:r>
        <w:t>Costes vs. reducción de impacto.</w:t>
      </w:r>
    </w:p>
    <w:p>
      <w:pPr>
        <w:pStyle w:val="ListBullet"/>
        <w:keepLines w:val="1"/>
        <w:keepNext w:val="1"/>
        <w:widowControl w:val="1"/>
      </w:pPr>
      <w:r>
        <w:t>Argumentos para mantener o aumentar inversión.[web:19][web:23][web:32]</w:t>
      </w:r>
    </w:p>
    <w:p>
      <w:pPr>
        <w:pStyle w:val="ListBullet"/>
        <w:keepLines w:val="1"/>
        <w:widowControl w:val="1"/>
      </w:pPr>
      <w:r>
        <w:t>Mensajes clave para el Consejo.</w:t>
      </w:r>
    </w:p>
    <w:p>
      <w:pPr>
        <w:pStyle w:val="Heading2"/>
        <w:keepNext/>
        <w:keepLines/>
      </w:pPr>
      <w:r>
        <w:rPr>
          <w:color w:val="0066CC"/>
        </w:rPr>
        <w:t>Diapositiva 12 – Plan de acción propuesto</w:t>
      </w:r>
    </w:p>
    <w:p>
      <w:pPr>
        <w:pStyle w:val="ListBullet"/>
        <w:keepLines w:val="1"/>
        <w:keepNext w:val="1"/>
        <w:widowControl w:val="1"/>
      </w:pPr>
      <w:r>
        <w:t>3–5 líneas de acción priorizadas:</w:t>
      </w:r>
    </w:p>
    <w:p>
      <w:pPr>
        <w:pStyle w:val="ListBullet"/>
        <w:keepLines w:val="1"/>
        <w:keepNext w:val="1"/>
        <w:widowControl w:val="1"/>
      </w:pPr>
      <w:r>
        <w:t>Mejoras en inventario y modelado.</w:t>
      </w:r>
    </w:p>
    <w:p>
      <w:pPr>
        <w:pStyle w:val="ListBullet"/>
        <w:keepLines w:val="1"/>
        <w:keepNext w:val="1"/>
        <w:widowControl w:val="1"/>
      </w:pPr>
      <w:r>
        <w:t>Refuerzo del flujo híbrido.</w:t>
      </w:r>
    </w:p>
    <w:p>
      <w:pPr>
        <w:pStyle w:val="ListBullet"/>
        <w:keepLines w:val="1"/>
        <w:keepNext w:val="1"/>
        <w:widowControl w:val="1"/>
      </w:pPr>
      <w:r>
        <w:t>Desarrollo de métricas.</w:t>
      </w:r>
    </w:p>
    <w:p>
      <w:pPr>
        <w:pStyle w:val="ListBullet"/>
        <w:keepLines w:val="1"/>
        <w:widowControl w:val="1"/>
      </w:pPr>
      <w:r>
        <w:t>Ajustes para NIS2.[web:23][web:36]</w:t>
      </w:r>
    </w:p>
    <w:p>
      <w:pPr>
        <w:pStyle w:val="Heading2"/>
        <w:keepNext/>
        <w:keepLines/>
      </w:pPr>
      <w:r>
        <w:rPr>
          <w:color w:val="0066CC"/>
        </w:rPr>
        <w:t>Diapositiva 13 – Conclusiones y próximos pasos</w:t>
      </w:r>
    </w:p>
    <w:p>
      <w:pPr>
        <w:pStyle w:val="ListBullet"/>
        <w:keepLines w:val="1"/>
        <w:keepNext w:val="1"/>
        <w:widowControl w:val="1"/>
      </w:pPr>
      <w:r>
        <w:t>Resumen de la “historia” que cuentan los datos.</w:t>
      </w:r>
    </w:p>
    <w:p>
      <w:pPr>
        <w:pStyle w:val="ListBullet"/>
        <w:keepLines w:val="1"/>
        <w:keepNext w:val="1"/>
        <w:widowControl w:val="1"/>
      </w:pPr>
      <w:r>
        <w:t>Propuesta de seguimiento (nueva medición en 12–24 meses).</w:t>
      </w:r>
    </w:p>
    <w:p>
      <w:pPr>
        <w:pStyle w:val="ListBullet"/>
        <w:keepLines w:val="1"/>
        <w:widowControl w:val="1"/>
      </w:pPr>
      <w:r>
        <w:t>Posible uso de resultados para informes a autoridades o reguladores.</w:t>
      </w:r>
    </w:p>
    <w:p>
      <w:r>
        <w:rPr>
          <w:i/>
        </w:rPr>
        <w:t>(La plantilla puede detallarse en notas de presentación, pero este esquema ya permite construir un PPT coherente sin grandes dramas.)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