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HyVAW-NIS2</w:t>
      </w:r>
    </w:p>
    <w:p>
      <w:r>
        <w:t>Bienvenido al Kit de Encuesta HyVAW-NIS2. Si ha llegado hasta aquí, es que le han encargado algo importante o que la curiosidad le ha podido. En ambos casos, enhorabuena.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archivos en formato Markdown:</w:t>
      </w:r>
    </w:p>
    <w:p>
      <w:pPr>
        <w:pStyle w:val="ListNumber"/>
        <w:keepLines w:val="1"/>
        <w:keepNext w:val="1"/>
        <w:widowControl w:val="1"/>
      </w:pPr>
      <w:r>
        <w:br/>
        <w:t>01-encuesta-hyvaw.md</w:t>
        <w:br/>
        <w:t xml:space="preserve">   Modelo integral de cuestionario para responsables de ciberseguridad y áreas afines.</w:t>
        <w:br/>
      </w:r>
    </w:p>
    <w:p>
      <w:pPr>
        <w:pStyle w:val="ListNumber"/>
        <w:keepLines w:val="1"/>
        <w:keepNext w:val="1"/>
        <w:widowControl w:val="1"/>
      </w:pPr>
      <w:r>
        <w:br/>
        <w:t>02-guia-metodologica-hyvaw.md</w:t>
        <w:br/>
        <w:t xml:space="preserve">   Explicación del marco conceptual, objetivos, bloques temáticos y uso de resultados.</w:t>
        <w:br/>
      </w:r>
    </w:p>
    <w:p>
      <w:pPr>
        <w:pStyle w:val="ListNumber"/>
        <w:keepLines w:val="1"/>
        <w:keepNext w:val="1"/>
        <w:widowControl w:val="1"/>
      </w:pPr>
      <w:r>
        <w:br/>
        <w:t>03-narrativa-explicativa-hyvaw.md</w:t>
        <w:br/>
        <w:t xml:space="preserve">   Texto de acompañamiento, ideal para prólogos de informes, intranet o presentaciones internas.</w:t>
        <w:br/>
      </w:r>
    </w:p>
    <w:p>
      <w:pPr>
        <w:pStyle w:val="ListNumber"/>
        <w:keepLines w:val="1"/>
        <w:keepNext w:val="1"/>
        <w:widowControl w:val="1"/>
      </w:pPr>
      <w:r>
        <w:br/>
        <w:t>04-mapeo-preguntas-normativa-hyvaw.md</w:t>
        <w:br/>
        <w:t xml:space="preserve">   Tabla que vincula cada bloque/pregunta con referencias HyVAW, NIS2, ENISA e INCIBE.</w:t>
        <w:br/>
      </w:r>
    </w:p>
    <w:p>
      <w:pPr>
        <w:pStyle w:val="ListNumber"/>
        <w:keepLines w:val="1"/>
        <w:keepNext w:val="1"/>
        <w:widowControl w:val="1"/>
      </w:pPr>
      <w:r>
        <w:br/>
        <w:t>05-plantilla-excel-igm-roi-hyvaw.md</w:t>
        <w:br/>
        <w:t xml:space="preserve">   Instrucciones para construir la hoja de cálculo de Índice Global de Madurez y ROI.</w:t>
        <w:br/>
      </w:r>
    </w:p>
    <w:p>
      <w:pPr>
        <w:pStyle w:val="ListNumber"/>
        <w:keepLines w:val="1"/>
        <w:keepNext w:val="1"/>
        <w:widowControl w:val="1"/>
      </w:pPr>
      <w:r>
        <w:br/>
        <w:t>06-plantilla-reporte-ejecutivo-ppx-hyvaw.md</w:t>
        <w:br/>
        <w:t xml:space="preserve">   Esquema de presentación ejecutiva (PowerPoint o equivalente).</w:t>
        <w:br/>
      </w:r>
    </w:p>
    <w:p>
      <w:pPr>
        <w:pStyle w:val="ListNumber"/>
        <w:keepLines w:val="1"/>
        <w:widowControl w:val="1"/>
      </w:pPr>
      <w:r>
        <w:br/>
        <w:t>07-README-kit-encuesta-hyvaw.md</w:t>
        <w:br/>
        <w:t xml:space="preserve">   Este mismo documento.[web:3][web:16][web:23][web:32][web:36]</w:t>
        <w:br/>
      </w:r>
    </w:p>
    <w:p>
      <w:r>
        <w:rPr>
          <w:rFonts w:ascii="Courier New" w:hAnsi="Courier New"/>
          <w:sz w:val="18"/>
        </w:rPr>
        <w:t>01-encuesta-hyvaw.md</w:t>
      </w:r>
      <w:r/>
      <w:r>
        <w:br/>
        <w:t xml:space="preserve">   Modelo integral de cuestionario para responsables de ciberseguridad y áreas afines.</w:t>
      </w:r>
    </w:p>
    <w:p>
      <w:r>
        <w:rPr>
          <w:rFonts w:ascii="Courier New" w:hAnsi="Courier New"/>
          <w:sz w:val="18"/>
        </w:rPr>
        <w:t>02-guia-metodologica-hyvaw.md</w:t>
      </w:r>
      <w:r/>
      <w:r>
        <w:br/>
        <w:t xml:space="preserve">   Explicación del marco conceptual, objetivos, bloques temáticos y uso de resultados.</w:t>
      </w:r>
    </w:p>
    <w:p>
      <w:r>
        <w:rPr>
          <w:rFonts w:ascii="Courier New" w:hAnsi="Courier New"/>
          <w:sz w:val="18"/>
        </w:rPr>
        <w:t>03-narrativa-explicativa-hyvaw.md</w:t>
      </w:r>
      <w:r/>
      <w:r>
        <w:br/>
        <w:t xml:space="preserve">   Texto de acompañamiento, ideal para prólogos de informes, intranet o presentaciones internas.</w:t>
      </w:r>
    </w:p>
    <w:p>
      <w:r>
        <w:rPr>
          <w:rFonts w:ascii="Courier New" w:hAnsi="Courier New"/>
          <w:sz w:val="18"/>
        </w:rPr>
        <w:t>04-mapeo-preguntas-normativa-hyvaw.md</w:t>
      </w:r>
      <w:r/>
      <w:r>
        <w:br/>
        <w:t xml:space="preserve">   Tabla que vincula cada bloque/pregunta con referencias HyVAW, NIS2, ENISA e INCIBE.</w:t>
      </w:r>
    </w:p>
    <w:p>
      <w:r>
        <w:rPr>
          <w:rFonts w:ascii="Courier New" w:hAnsi="Courier New"/>
          <w:sz w:val="18"/>
        </w:rPr>
        <w:t>05-plantilla-excel-igm-roi-hyvaw.md</w:t>
      </w:r>
      <w:r/>
      <w:r>
        <w:br/>
        <w:t xml:space="preserve">   Instrucciones para construir la hoja de cálculo de Índice Global de Madurez y ROI.</w:t>
      </w:r>
    </w:p>
    <w:p>
      <w:r>
        <w:rPr>
          <w:rFonts w:ascii="Courier New" w:hAnsi="Courier New"/>
          <w:sz w:val="18"/>
        </w:rPr>
        <w:t>06-plantilla-reporte-ejecutivo-ppx-hyvaw.md</w:t>
      </w:r>
      <w:r/>
      <w:r>
        <w:br/>
        <w:t xml:space="preserve">   Esquema de presentación ejecutiva (PowerPoint o equivalente).</w:t>
      </w:r>
    </w:p>
    <w:p>
      <w:r>
        <w:rPr>
          <w:rFonts w:ascii="Courier New" w:hAnsi="Courier New"/>
          <w:sz w:val="18"/>
        </w:rPr>
        <w:t>07-README-kit-encuesta-hyvaw.md</w:t>
      </w:r>
      <w:r/>
      <w:r>
        <w:br/>
        <w:t xml:space="preserve">   Este mismo documento.[web:3][web:16][web:23][web:32][web:36]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>Revise primero la 02-guia-metodologica-hyvaw.md para entender el enfoque general.</w:t>
      </w:r>
    </w:p>
    <w:p>
      <w:pPr>
        <w:pStyle w:val="ListNumber"/>
        <w:keepLines w:val="1"/>
        <w:keepNext w:val="1"/>
        <w:widowControl w:val="1"/>
      </w:pPr>
      <w:r>
        <w:t>Adapte la 01-encuesta-hyvaw.md a la terminología y estructura de su organización (sin perder el espíritu híbrido).</w:t>
      </w:r>
    </w:p>
    <w:p>
      <w:pPr>
        <w:pStyle w:val="ListNumber"/>
        <w:keepLines w:val="1"/>
        <w:keepNext w:val="1"/>
        <w:widowControl w:val="1"/>
      </w:pPr>
      <w:r>
        <w:t>Implemente la plantilla de Excel a partir de 05-plantilla-excel-igm-roi-hyvaw.md.</w:t>
      </w:r>
    </w:p>
    <w:p>
      <w:pPr>
        <w:pStyle w:val="ListNumber"/>
        <w:keepLines w:val="1"/>
        <w:widowControl w:val="1"/>
      </w:pPr>
      <w:r>
        <w:t>Una vez tenga resultados, utilice la 06-plantilla-reporte-ejecutivo-ppx-hyvaw.md para preparar el informe a la dirección.[web:23][web:36]</w:t>
      </w:r>
    </w:p>
    <w:p>
      <w:pPr>
        <w:pStyle w:val="Heading2"/>
        <w:keepNext/>
        <w:keepLines/>
      </w:pPr>
      <w:r>
        <w:rPr>
          <w:color w:val="0066CC"/>
        </w:rPr>
        <w:t>3. Personalización recomendada</w:t>
      </w:r>
    </w:p>
    <w:p>
      <w:pPr>
        <w:pStyle w:val="ListBullet"/>
        <w:keepLines w:val="1"/>
        <w:keepNext w:val="1"/>
        <w:widowControl w:val="1"/>
      </w:pPr>
      <w:r>
        <w:t>Añadir ejemplos y referencias sectoriales propias.</w:t>
      </w:r>
    </w:p>
    <w:p>
      <w:pPr>
        <w:pStyle w:val="ListBullet"/>
        <w:keepLines w:val="1"/>
        <w:keepNext w:val="1"/>
        <w:widowControl w:val="1"/>
      </w:pPr>
      <w:r>
        <w:t>Ajustar pesos de bloques y preguntas según apetito de riesgo y prioridades.</w:t>
      </w:r>
    </w:p>
    <w:p>
      <w:pPr>
        <w:pStyle w:val="ListBullet"/>
        <w:keepLines w:val="1"/>
        <w:widowControl w:val="1"/>
      </w:pPr>
      <w:r>
        <w:t>Incorporar indicadores adicionales (por ejemplo, de cadena de suministro) si el contexto lo exige.[web:19][web:31][web:36]</w:t>
      </w:r>
    </w:p>
    <w:p>
      <w:r>
        <w:t>Eso sí: conviene mantener la columna vertebral de HyVAW (flujo híbrido) y NIS2 (gestión de riesgos y obligaciones de reporte), porque son la base de la comparabilidad con otras organizaciones y países.[web:3][web:16][web:23][web:36]</w:t>
      </w:r>
    </w:p>
    <w:p>
      <w:pPr>
        <w:pStyle w:val="Heading2"/>
        <w:keepNext/>
        <w:keepLines/>
      </w:pPr>
      <w:r>
        <w:rPr>
          <w:color w:val="0066CC"/>
        </w:rPr>
        <w:t>4. Buenas prácticas de despliegue</w:t>
      </w:r>
    </w:p>
    <w:p>
      <w:pPr>
        <w:pStyle w:val="ListBullet"/>
        <w:keepLines w:val="1"/>
        <w:keepNext w:val="1"/>
        <w:widowControl w:val="1"/>
      </w:pPr>
      <w:r>
        <w:t>Comunicar claramente el propósito de la encuesta: diagnóstico y mejora, no búsqueda de culpables.</w:t>
      </w:r>
    </w:p>
    <w:p>
      <w:pPr>
        <w:pStyle w:val="ListBullet"/>
        <w:keepLines w:val="1"/>
        <w:keepNext w:val="1"/>
        <w:widowControl w:val="1"/>
      </w:pPr>
      <w:r>
        <w:t>Garantizar confidencialidad de respuestas individuales.</w:t>
      </w:r>
    </w:p>
    <w:p>
      <w:pPr>
        <w:pStyle w:val="ListBullet"/>
        <w:keepLines w:val="1"/>
        <w:widowControl w:val="1"/>
      </w:pPr>
      <w:r>
        <w:t>Compartir resultados en forma agregada y constructiva, con propuestas de acción concretas.[web:23][web:33][web:36]</w:t>
      </w:r>
    </w:p>
    <w:p>
      <w:pPr>
        <w:pStyle w:val="Heading2"/>
        <w:keepNext/>
        <w:keepLines/>
      </w:pPr>
      <w:r>
        <w:rPr>
          <w:color w:val="0066CC"/>
        </w:rPr>
        <w:t>5. Versionado y mantenimiento</w:t>
      </w:r>
    </w:p>
    <w:p>
      <w:r>
        <w:t>La ciberseguridad cambia rápido, y las normas también. Se recomienda:</w:t>
      </w:r>
    </w:p>
    <w:p>
      <w:pPr>
        <w:pStyle w:val="ListBullet"/>
        <w:keepLines w:val="1"/>
        <w:keepNext w:val="1"/>
        <w:widowControl w:val="1"/>
      </w:pPr>
      <w:r>
        <w:t>Revisar el cuestionario al menos cada dos años, o ante cambios relevantes en NIS2 o guías ENISA.</w:t>
      </w:r>
    </w:p>
    <w:p>
      <w:pPr>
        <w:pStyle w:val="ListBullet"/>
        <w:keepLines w:val="1"/>
        <w:keepNext w:val="1"/>
        <w:widowControl w:val="1"/>
      </w:pPr>
      <w:r>
        <w:t>Documentar las versiones para interpretar tendencias en el tiempo.</w:t>
      </w:r>
    </w:p>
    <w:p>
      <w:pPr>
        <w:pStyle w:val="ListBullet"/>
        <w:keepLines w:val="1"/>
        <w:widowControl w:val="1"/>
      </w:pPr>
      <w:r>
        <w:t>Mantener una lista de “cambios relevantes” en este README.</w:t>
      </w:r>
    </w:p>
    <w:p>
      <w:pPr>
        <w:pStyle w:val="Heading2"/>
        <w:keepNext/>
        <w:keepLines/>
      </w:pPr>
      <w:r>
        <w:rPr>
          <w:color w:val="0066CC"/>
        </w:rPr>
        <w:t>6. En caso de duda</w:t>
      </w:r>
    </w:p>
    <w:p>
      <w:r>
        <w:t>En caso de duda, recuerde: es mejor una respuesta honesta y una acción de mejora, que un cuestionario perfecto colgando de una pared. Y sí, la ironía también está permitida en la gestión de vulnerabilidades.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