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Kit COSO-Ciber v2025.1 — 7 Archivos Generados</w:t>
      </w:r>
    </w:p>
    <w:p>
      <w:pPr>
        <w:pStyle w:val="Heading1"/>
        <w:keepNext/>
        <w:keepLines/>
      </w:pPr>
      <w:r>
        <w:rPr>
          <w:color w:val="003366"/>
        </w:rPr>
        <w:t>Archivo Tamaño  Contenido</w:t>
      </w:r>
    </w:p>
    <w:p>
      <w:r>
        <w:t>(a) a_encuesta_integral_coso.md 41 KB · 757 líneas  Encuesta completa: 10 bloques, 59 preguntas, 14 IATs⚡, tablas matriciales, escalas y opciones irónicamente curadas</w:t>
      </w:r>
      <w:r/>
      <w:r>
        <w:br/>
        <w:t>(b) b_guia_metodologica.md  14 KB · 264 líneas  Diseño muestral, GQM, fórmula IGM ponderada, análisis estadístico (AFC, Cronbach, Kruskal-Wallis), gestión de sesgos</w:t>
      </w:r>
      <w:r/>
      <w:r>
        <w:br/>
        <w:t>(c) c_narrativa_explicativa.md  15 KB · 143 líneas  Contexto NIS2/DORA/CGF2026, lógica de los 5 componentes COSO aplicados al ciberriesgo, singularidades España-UE, glosario de 30 términos</w:t>
      </w:r>
      <w:r/>
      <w:r>
        <w:br/>
        <w:t>(d) d_mapeo_normativo.md    14 KB · 145 líneas  Tabla de trazabilidad pregunta → 12 marcos (COSO, NIS2, DORA, ENS, ISO 27001, NIST CSF, FAIR, GDPR, EU AI Act), densidad normativa por pregunta</w:t>
      </w:r>
      <w:r/>
      <w:r>
        <w:br/>
        <w:t>(e) e_plantilla_excel_igm_roi.md    19 KB · 376 líneas  Especificación técnica completa de 8 pestañas Excel: fórmulas ALE/SLE/ARO/ROSI, conversión de respuestas, semáforos automáticos, dashboard</w:t>
      </w:r>
      <w:r/>
      <w:r>
        <w:br/>
        <w:t>(f) f_plantilla_ppt_reporte_ejecutivo.md    21 KB · 408 líneas  17 diapositivas especificadas: portada, gauge IGM, spider chart COSO, grid 14 IATs, cuadro ROI, semáforo NIS2/DORA/ENS, roadmap y diapositiva de decisiones para el consejo</w:t>
      </w:r>
      <w:r/>
      <w:r>
        <w:br/>
        <w:t>(g) g_readme_kit_encuesta.md    13 KB · 262 líneas  Guía de uso, árbol del kit, FAQs, prerrequisitos técnicos, cronograma de 21 semanas, licencia CC BY-NC-SA 4.0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