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COSO-Ciber · Kit de Diagnóstico v2025.1</w:t>
      </w:r>
    </w:p>
    <w:p>
      <w:pPr>
        <w:pStyle w:val="Heading3"/>
        <w:keepNext/>
        <w:keepLines/>
      </w:pPr>
      <w:r>
        <w:t>Indicadores y Métricas de Ciberseguridad en el Marco COSO — Aplicación a España</w:t>
      </w:r>
    </w:p>
    <w:p>
      <w:r>
        <w:rPr>
          <w:i/>
        </w:rPr>
        <w:t>"Una encuesta sin metodología es como un mapa sin escala: puede ser decorativa, pero nadie debería navegar con ella."</w:t>
      </w:r>
    </w:p>
    <w:p>
      <w:pPr>
        <w:pStyle w:val="Heading2"/>
        <w:keepNext/>
        <w:keepLines/>
      </w:pPr>
      <w:r>
        <w:rPr>
          <w:color w:val="0066CC"/>
        </w:rPr>
        <w:t>1. Fundamentos Epistemológicos</w:t>
      </w:r>
    </w:p>
    <w:p>
      <w:r>
        <w:t xml:space="preserve">Esta encuesta se inscribe en un </w:t>
      </w:r>
      <w:r>
        <w:rPr>
          <w:b/>
        </w:rPr>
        <w:t>paradigma post-positivista mixto</w:t>
      </w:r>
      <w:r>
        <w:t>, combinando:</w:t>
      </w:r>
    </w:p>
    <w:p>
      <w:pPr>
        <w:pStyle w:val="ListBullet"/>
        <w:keepLines w:val="1"/>
        <w:keepNext w:val="1"/>
        <w:widowControl w:val="1"/>
      </w:pPr>
      <w:r>
        <w:t>Enfoque cuantitativo: escalas de Likert (1–5), ítems de selección única y múltiple, indicadores de cobertura, puntuaciones de madurez y cálculo del Índice Global de Madurez (IGM).</w:t>
      </w:r>
    </w:p>
    <w:p>
      <w:pPr>
        <w:pStyle w:val="ListBullet"/>
        <w:keepLines w:val="1"/>
        <w:widowControl w:val="1"/>
      </w:pPr>
      <w:r>
        <w:t>Enfoque cualitativo: preguntas abiertas del Bloque X para capturar narrativas, conocimiento tácito y experiencia situada imposibles de cuantificar con ítems cerrados.</w:t>
      </w:r>
    </w:p>
    <w:p>
      <w:r>
        <w:t xml:space="preserve">El referente primario de medición es la norma </w:t>
      </w:r>
      <w:r>
        <w:rPr>
          <w:b/>
        </w:rPr>
        <w:t>ISO/IEC 27004:2016</w:t>
      </w:r>
      <w:r>
        <w:t xml:space="preserve"> (</w:t>
      </w:r>
      <w:r>
        <w:rPr>
          <w:i/>
        </w:rPr>
        <w:t>Information security management — Monitoring, measurement, analysis and evaluation</w:t>
      </w:r>
      <w:r>
        <w:t xml:space="preserve">). El diseño adopta la metodología </w:t>
      </w:r>
      <w:r>
        <w:rPr>
          <w:b/>
        </w:rPr>
        <w:t>GQM (Goal-Question-Metric)</w:t>
      </w:r>
      <w:r>
        <w:t xml:space="preserve"> de Basili (1994): los indicadores derivan de objetivos y preguntas de investigación formulados explícitamente.</w:t>
      </w:r>
    </w:p>
    <w:p>
      <w:pPr>
        <w:pStyle w:val="Heading2"/>
        <w:keepNext/>
        <w:keepLines/>
      </w:pPr>
      <w:r>
        <w:rPr>
          <w:color w:val="0066CC"/>
        </w:rPr>
        <w:t>2. Objetivos de la Investigación</w:t>
      </w:r>
    </w:p>
    <w:p>
      <w:pPr>
        <w:pStyle w:val="Heading3"/>
        <w:keepNext/>
        <w:keepLines/>
      </w:pPr>
      <w:r>
        <w:t>2.1 Objetivo General (OG)</w:t>
      </w:r>
    </w:p>
    <w:p>
      <w:r>
        <w:t>Evaluar el estado de adopción de indicadores y métricas de ciberseguridad alineados con el marco COSO en organizaciones que operan en España, identificando brechas, tendencias y oportunidades de mejora con perspectiva comparada internacional (UE, EE.UU., LATAM).</w:t>
      </w:r>
    </w:p>
    <w:p>
      <w:pPr>
        <w:pStyle w:val="Heading3"/>
        <w:keepNext/>
        <w:keepLines/>
      </w:pPr>
      <w:r>
        <w:t>2.2 Objetivos Específicos (OE)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Específico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Bloque(s)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COSO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Caracterizar gobernanza y cultura ciber en el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I, VII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C-I / CGF P-8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Evaluar la integración del ciberriesgo en la estrategia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C-II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Medir la implementación de indicadores de desempeño ciber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C-III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 preparación ante riesgos emergentes (IA, PQC)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P-6 / P-15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Analizar el estado de cumplimiento regulatorio (NIS2, ENS, DORA)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IC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Evaluar la madurez del ciclo de revisión del control ciber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C-IV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Caracterizar la calidad del reporte de ciberriesgo al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C-V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Estimar el ROI y la capacidad de cuantificación financiera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ERM + FAIR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OE-9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Posicionar organizaciones en el 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VIII, IX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OE-10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Identificar barreras, habilitadores y prioridades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IX, X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Diseño Muestral</w:t>
      </w:r>
    </w:p>
    <w:p>
      <w:pPr>
        <w:pStyle w:val="Heading3"/>
        <w:keepNext/>
        <w:keepLines/>
      </w:pPr>
      <w:r>
        <w:t>3.1 Población Objetivo</w:t>
      </w:r>
    </w:p>
    <w:p>
      <w:r>
        <w:t>Organizaciones que operen en España con:</w:t>
      </w:r>
      <w:r/>
      <w:r>
        <w:br/>
        <w:t xml:space="preserve">- Más de 50 empleados, </w:t>
      </w:r>
      <w:r>
        <w:rPr>
          <w:b/>
        </w:rPr>
        <w:t>O</w:t>
      </w:r>
      <w:r/>
      <w:r>
        <w:br/>
        <w:t>- Sujetas a obligaciones de NIS2, ENS (cualquier categoría) o DORA</w:t>
      </w:r>
    </w:p>
    <w:p>
      <w:r>
        <w:t>Encuestados en roles de decisión sobre ciberseguridad, riesgos, cumplimiento, TI o gobierno corporativo.</w:t>
      </w:r>
    </w:p>
    <w:p>
      <w:r>
        <w:rPr>
          <w:b/>
        </w:rPr>
        <w:t>Criterios de inclusión:</w:t>
      </w:r>
      <w:r/>
      <w:r>
        <w:br/>
        <w:t>- Actividad principal o sede en España</w:t>
      </w:r>
      <w:r/>
      <w:r>
        <w:br/>
        <w:t>- Encuestado con responsabilidades directas sobre el ámbito de la encuesta</w:t>
      </w:r>
      <w:r/>
      <w:r>
        <w:br/>
        <w:t>- Acceso a información sobre las prácticas de ciberseguridad de su organización</w:t>
      </w:r>
    </w:p>
    <w:p>
      <w:r>
        <w:rPr>
          <w:b/>
        </w:rPr>
        <w:t>Criterios de exclusión:</w:t>
      </w:r>
      <w:r/>
      <w:r>
        <w:br/>
        <w:t>- Consultores sin acceso a datos internos del cliente</w:t>
      </w:r>
      <w:r/>
      <w:r>
        <w:br/>
        <w:t>- Estudiantes sin posición organizacional relevante</w:t>
      </w:r>
      <w:r/>
      <w:r>
        <w:br/>
        <w:t>- Microempresas (&lt;10 empleados) sin obligaciones NIS2</w:t>
      </w:r>
    </w:p>
    <w:p>
      <w:pPr>
        <w:pStyle w:val="Heading3"/>
        <w:keepNext/>
        <w:keepLines/>
      </w:pPr>
      <w:r>
        <w:t>3.2 Estrategia de Muestreo</w:t>
      </w:r>
    </w:p>
    <w:p>
      <w:r>
        <w:rPr>
          <w:b/>
        </w:rPr>
        <w:t>Muestreo estratificado no proporcional</w:t>
      </w:r>
      <w:r>
        <w:t xml:space="preserve"> con cuotas por:</w:t>
      </w:r>
      <w:r/>
      <w:r>
        <w:br/>
        <w:t>1. Sector de actividad (NIS2: sectores de alta criticidad vs. sectores importantes)</w:t>
      </w:r>
      <w:r/>
      <w:r>
        <w:br/>
        <w:t>2. Tamaño organizacional (4 estratos: pequeña, mediana, grande, corporación)</w:t>
      </w:r>
      <w:r/>
      <w:r>
        <w:br/>
        <w:t>3. Tipo de entidad (pública vs. privada)</w:t>
      </w:r>
      <w:r/>
      <w:r>
        <w:br/>
        <w:t>4. Perfil del encuestado (consejo/alta dirección · CISO/CRO · técnico)</w:t>
      </w:r>
    </w:p>
    <w:p>
      <w:pPr>
        <w:pStyle w:val="Heading3"/>
        <w:keepNext/>
        <w:keepLines/>
      </w:pPr>
      <w:r>
        <w:t>3.3 Tamaño Muestral Mínimo</w:t>
      </w:r>
    </w:p>
    <w:p>
      <w:r>
        <w:t>Para error muestral ±5%, nivel de confianza 95% y varianza máxima: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 = (Z² × p × q) / e² = (1,96² × 0,5 × 0,5) / 0,05² = 384 respuestas válidas mínimas</w:t>
        <w:br/>
      </w:r>
    </w:p>
    <w:p>
      <w:r>
        <w:rPr>
          <w:b/>
        </w:rPr>
        <w:t>Objetivo práctico:</w:t>
      </w:r>
      <w:r>
        <w:t xml:space="preserve"> 500–600 respuestas válidas para análisis por subgrupos (mínimo 30 respuestas por celda de cruce sector × tamaño).</w:t>
      </w:r>
    </w:p>
    <w:p>
      <w:pPr>
        <w:pStyle w:val="Heading3"/>
        <w:keepNext/>
        <w:keepLines/>
      </w:pPr>
      <w:r>
        <w:t>3.4 Canales de Distribución Recomendados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Sesgo potencial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ISMS Forum, ISACA Spain, (ISC)² Spain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Acceso a practicantes cualificados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Sobre-representación de organizaciones maduras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 / CCN-CERT (canal oficial)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legitimidad; alcance 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Sesgo hacia sector público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LinkedIn (segmentación por cargo y sector)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alcance, bajo coste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Sobre-representación de CISOs visibles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Eventos sectoriales (ENISE, RootedCON, SecAdmin)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Respuestas de alta calidad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Alcance limitado; early adopters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Panel online (Prolific, Dynata)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Control demográfico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Menor profundidad de respuesta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Instrumento de Medición — Decisiones de Diseño</w:t>
      </w:r>
    </w:p>
    <w:p>
      <w:pPr>
        <w:pStyle w:val="Heading3"/>
        <w:keepNext/>
        <w:keepLines/>
      </w:pPr>
      <w:r>
        <w:t>4.1 Estructura por Bloques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Denominación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 COSO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principal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Perfil organizacional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Variables de control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Opción única/múltiple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y Cultura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C-I / CGF P-8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+ opción única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 y Apetito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C-II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Opción 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Desempeño — Métricas Operativas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+ opción única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Riesgos Emergentes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P-6 + P-15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Opción 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 Regulatorio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IC Control / ERM P-20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Opción única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Revisión, Mejora y Monitoreo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C-IV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+ 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Información y Reporte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C-V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Opción única/múltiple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 y Madurez Estratégica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ERM + FAIR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Múltiple + escala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Perspectiva Comparada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Benchmarking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Única + múltiple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Reflexión Final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Cualitativo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 abierta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~59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Mixto</w:t>
            </w:r>
          </w:p>
        </w:tc>
      </w:tr>
    </w:tbl>
    <w:p/>
    <w:p>
      <w:pPr>
        <w:pStyle w:val="Heading3"/>
        <w:keepNext/>
        <w:keepLines/>
      </w:pPr>
      <w:r>
        <w:t>4.2 Escalas de Medición</w:t>
      </w:r>
    </w:p>
    <w:p>
      <w:pPr>
        <w:pStyle w:val="Heading4"/>
        <w:keepNext/>
        <w:keepLines/>
      </w:pPr>
      <w:r>
        <w:t>Escala de Madurez COSO-Ciber (1–5) — Basada en CMMI v2.0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Inexistente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proceso; respuesta reactiva ante eventos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informales, personas-dependientes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documentados; formación establecida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activas; mejora continua; reporte al consejo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Mejora proactiva; benchmarking; anticipación de riesgos emergentes</w:t>
            </w:r>
          </w:p>
        </w:tc>
      </w:tr>
    </w:tbl>
    <w:p/>
    <w:p>
      <w:pPr>
        <w:pStyle w:val="Heading3"/>
        <w:keepNext/>
        <w:keepLines/>
      </w:pPr>
      <w:r>
        <w:t>4.3 Indicadores de Alerta Temprana (⚡ IAT)</w:t>
      </w:r>
    </w:p>
    <w:p>
      <w:r>
        <w:t xml:space="preserve">Las </w:t>
      </w:r>
      <w:r>
        <w:rPr>
          <w:b/>
        </w:rPr>
        <w:t>14 preguntas IAT</w:t>
      </w:r>
      <w:r>
        <w:t xml:space="preserve"> representan los controles COSO con mayor impacto en la reducción del riesgo:</w:t>
      </w:r>
    </w:p>
    <w:p>
      <w:r>
        <w:t>P-1.1 (supervisión consejo) · P-1.2 (competencia ciber consejo) · P-1.4 (línea reporte CISO) · P-1.6 (cultura ciber) · P-2.1 (integración estratégica) · P-2.3 (apetito de riesgo) · P-3.1 (registro de riesgos) · P-3.2 (gestión vulnerabilidades) · P-3.3 (Time-to-Patch) · P-3.4 (TtE como KRI) · P-3.5 (MTTD/MTTR) · P-3.6 (IAM/MFA) · P-3.9 (resiliencia y BC) · P-7.1 (calidad reporte consejo)</w:t>
      </w:r>
    </w:p>
    <w:p>
      <w:r>
        <w:t>Una respuesta de nivel 1 o 2 en cualquier IAT activa revisión prioritaria en el plan de mejora.</w:t>
      </w:r>
    </w:p>
    <w:p>
      <w:pPr>
        <w:pStyle w:val="Heading2"/>
        <w:keepNext/>
        <w:keepLines/>
      </w:pPr>
      <w:r>
        <w:rPr>
          <w:color w:val="0066CC"/>
        </w:rPr>
        <w:t>5. Índice Global de Madurez (IGM)</w:t>
      </w:r>
    </w:p>
    <w:p>
      <w:pPr>
        <w:pStyle w:val="Heading3"/>
        <w:keepNext/>
        <w:keepLines/>
      </w:pPr>
      <w:r>
        <w:t>5.1 Pesos por Componente COSO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 COSO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Bloque(s)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y Cultura (C-I)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Condición necesaria de todos los demás componentes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 y Apetito de Riesgo (C-II)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Diferenciador de madurez estratégica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Desempeño / Métricas Operativas (C-III)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 densidad de indicadores medibles e impacto directo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y Mejora (C-IV)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Derivado de C-III; condición de mejora continua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Información, Comunicación y Reporte (C-V)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VII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Cierre del ciclo de gobierno</w:t>
            </w:r>
          </w:p>
        </w:tc>
      </w:tr>
    </w:tbl>
    <w:p/>
    <w:p>
      <w:pPr>
        <w:pStyle w:val="Heading3"/>
        <w:keepNext/>
        <w:keepLines/>
      </w:pPr>
      <w:r>
        <w:t>5.2 Fórmula del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(P_GOB × 0,25) + (P_EST × 0,20) + (P_DES × 0,30) + (P_REV × 0,10) + (P_INF × 0,15)</w:t>
        <w:br/>
      </w:r>
    </w:p>
    <w:p>
      <w:r>
        <w:t>Donde cada P_XXX es la puntuación media del componente (escala 1–5) calculada mediante la tabla de conversión incluida en la Plantilla Excel (Documento e).</w:t>
      </w:r>
    </w:p>
    <w:p>
      <w:pPr>
        <w:pStyle w:val="Heading3"/>
        <w:keepNext/>
        <w:keepLines/>
      </w:pPr>
      <w:r>
        <w:t>5.3 Interpretación del IGM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 General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1,0–1,9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🔴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Intervención inmediata en controles básicos; prioridad en las 14 IATs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2,0–2,9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 🟠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de mejora estructurado a 12 meses; formalización de procesos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3,0–3,9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Establecido 🟡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Optimización de métricas; integración en ERM; mejora del reporte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4,0–4,5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Avanzado 🟢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Cuantificación financiera del riesgo (FAIR/CRQ); benchmarking activo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4,6–5,0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Líder 🟦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Referente sectorial; contribución a marcos e iniciativas sectoriales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Análisis Estadístico</w:t>
      </w:r>
    </w:p>
    <w:p>
      <w:pPr>
        <w:pStyle w:val="Heading3"/>
        <w:keepNext/>
        <w:keepLines/>
      </w:pPr>
      <w:r>
        <w:t>6.1 Análisis Descriptivo</w:t>
      </w:r>
    </w:p>
    <w:p>
      <w:pPr>
        <w:pStyle w:val="ListBullet"/>
        <w:keepLines w:val="1"/>
        <w:keepNext w:val="1"/>
        <w:widowControl w:val="1"/>
      </w:pPr>
      <w:r>
        <w:t>Variables cuantitativas: media, mediana, desviación típica, cuartiles, distribución de frecuencias</w:t>
      </w:r>
    </w:p>
    <w:p>
      <w:pPr>
        <w:pStyle w:val="ListBullet"/>
        <w:keepLines w:val="1"/>
        <w:keepNext w:val="1"/>
        <w:widowControl w:val="1"/>
      </w:pPr>
      <w:r>
        <w:t>Variables categóricas: tablas de frecuencia, gráficos de barras/Sankey, distribución porcentual</w:t>
      </w:r>
    </w:p>
    <w:p>
      <w:pPr>
        <w:pStyle w:val="ListBullet"/>
        <w:keepLines w:val="1"/>
        <w:widowControl w:val="1"/>
      </w:pPr>
      <w:r>
        <w:t>IGM: histograma, percentiles, boxplot por sector/tamaño/perfil</w:t>
      </w:r>
    </w:p>
    <w:p>
      <w:pPr>
        <w:pStyle w:val="Heading3"/>
        <w:keepNext/>
        <w:keepLines/>
      </w:pPr>
      <w:r>
        <w:t>6.2 Análisis Inferencial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Variables involucradas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ANOVA / Kruskal-Wallis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Comparar IGM medio entre sectores, tamaños y perfiles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vs. sector, tamaño, perfil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de Spearman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Relaciones entre componentes del IGM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P_GOB, P_EST, P_DES, etc.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de conglomerados (k-means)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Tipologías organizacionales de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 los ítems cuantitativos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Regresión logística ordinal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Predictores del nivel de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Variables Bloque 0 como predictores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Análisis de correspondencias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Asociaciones entre sector y prácticas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Variables nominales</w:t>
            </w:r>
          </w:p>
        </w:tc>
      </w:tr>
    </w:tbl>
    <w:p/>
    <w:p>
      <w:pPr>
        <w:pStyle w:val="Heading3"/>
        <w:keepNext/>
        <w:keepLines/>
      </w:pPr>
      <w:r>
        <w:t>6.3 Análisis Cualitativo (Bloque X)</w:t>
      </w:r>
    </w:p>
    <w:p>
      <w:pPr>
        <w:pStyle w:val="ListBullet"/>
        <w:keepLines w:val="1"/>
        <w:keepNext w:val="1"/>
        <w:widowControl w:val="1"/>
      </w:pPr>
      <w:r>
        <w:t>Análisis de contenido temático de las respuestas abiertas</w:t>
      </w:r>
    </w:p>
    <w:p>
      <w:pPr>
        <w:pStyle w:val="ListBullet"/>
        <w:keepLines w:val="1"/>
        <w:keepNext w:val="1"/>
        <w:widowControl w:val="1"/>
      </w:pPr>
      <w:r>
        <w:t>Codificación axial siguiendo las 5 categorías del marco COSO</w:t>
      </w:r>
    </w:p>
    <w:p>
      <w:pPr>
        <w:pStyle w:val="ListBullet"/>
        <w:keepLines w:val="1"/>
        <w:keepNext w:val="1"/>
        <w:widowControl w:val="1"/>
      </w:pPr>
      <w:r>
        <w:t>Análisis de co-ocurrencias para identificar patrones semánticos (NVivo o Atlas.ti)</w:t>
      </w:r>
    </w:p>
    <w:p>
      <w:pPr>
        <w:pStyle w:val="ListBullet"/>
        <w:keepLines w:val="1"/>
        <w:widowControl w:val="1"/>
      </w:pPr>
      <w:r>
        <w:t>Word cloud ponderado por frecuencia</w:t>
      </w:r>
    </w:p>
    <w:p>
      <w:pPr>
        <w:pStyle w:val="Heading3"/>
        <w:keepNext/>
        <w:keepLines/>
      </w:pPr>
      <w:r>
        <w:t>6.4 Validez y Fiabilidad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de contenido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Panel de expertos (7+: 3 CISO, 2 académicos, 1 regulador, 1 auditor)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Índice Lawshe ≥ 0,62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de constructo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Factorial Confirmatorio (AFC)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CFI &gt; 0,95; RMSEA &lt; 0,06; SRMR &lt; 0,08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Fiabilidad interna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Alfa de Cronbach por bloque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α &gt; 0,70 para escalas multi-ítem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Estabilidad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Test-retest (n=30, 15 días)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 &gt; 0,75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Procedimiento de Aplicación</w:t>
      </w:r>
    </w:p>
    <w:p>
      <w:pPr>
        <w:pStyle w:val="Heading3"/>
        <w:keepNext/>
        <w:keepLines/>
      </w:pPr>
      <w:r>
        <w:t>7.1 Fases del Trabajo de Campo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por panel de expertos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Piloto (30 organizaciones)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Refinamiento del instrumento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semana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Distribución masiva (canales múltiples)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6–8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Seguimiento y recordatorios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Durante F3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Cierre y depuración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semana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estadístico y construcción IGM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Redacción del informe de 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Difusión y presentación de 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~23 semanas</w:t>
            </w:r>
          </w:p>
        </w:tc>
      </w:tr>
    </w:tbl>
    <w:p/>
    <w:p>
      <w:pPr>
        <w:pStyle w:val="Heading3"/>
        <w:keepNext/>
        <w:keepLines/>
      </w:pPr>
      <w:r>
        <w:t>7.2 Herramienta de Distribución</w:t>
      </w:r>
    </w:p>
    <w:p>
      <w:r>
        <w:rPr>
          <w:b/>
        </w:rPr>
        <w:t>Recomendada:</w:t>
      </w:r>
      <w:r>
        <w:t xml:space="preserve"> LimeSurvey (versión autoalojada — control total de datos, cumplimiento RGPD).</w:t>
      </w:r>
      <w:r/>
      <w:r>
        <w:br/>
      </w:r>
      <w:r>
        <w:rPr>
          <w:b/>
        </w:rPr>
        <w:t>Alternativa:</w:t>
      </w:r>
      <w:r>
        <w:t xml:space="preserve"> Google Forms (proyectos académicos con recursos limitados).</w:t>
      </w:r>
    </w:p>
    <w:p>
      <w:pPr>
        <w:pStyle w:val="Heading3"/>
        <w:keepNext/>
        <w:keepLines/>
      </w:pPr>
      <w:r>
        <w:t>7.3 Gestión de Sesgos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Sesgo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 de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Deseabilidad social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Responder "lo que debería ser"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Formulación sin juicio de valor; anonimidad prominente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Autoselección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Responden organizaciones más interesadas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Comparar perfil de respondentes con el universo; ajuste ponderado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Información asimétrica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encuestado no conoce todos los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"Si no dispone de datos exactos, proporcione estimación"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Varianza de método común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solo encuestado responde predictor y resultado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Separar encuestados por rol; triangular con datos objetivos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Marco temporal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Eventos recientes sesgan la percepción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Ventana temporal explícita en preguntas ("en los últimos 12 meses")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Consideraciones Éticas</w:t>
      </w:r>
    </w:p>
    <w:p>
      <w:pPr>
        <w:pStyle w:val="ListBullet"/>
        <w:keepLines w:val="1"/>
        <w:keepNext w:val="1"/>
        <w:widowControl w:val="1"/>
      </w:pPr>
      <w:r>
        <w:t>Anonimato garantizado: datos individuales no publicados ni compartidos con terceros</w:t>
      </w:r>
    </w:p>
    <w:p>
      <w:pPr>
        <w:pStyle w:val="ListBullet"/>
        <w:keepLines w:val="1"/>
        <w:keepNext w:val="1"/>
        <w:widowControl w:val="1"/>
      </w:pPr>
      <w:r>
        <w:t>Consentimiento informado: declaración explícita al inicio del instrumento</w:t>
      </w:r>
    </w:p>
    <w:p>
      <w:pPr>
        <w:pStyle w:val="ListBullet"/>
        <w:keepLines w:val="1"/>
        <w:keepNext w:val="1"/>
        <w:widowControl w:val="1"/>
      </w:pPr>
      <w:r>
        <w:t>Proporcionalidad: 45–60 minutos justificados por el valor del diagnóstico obtenido</w:t>
      </w:r>
    </w:p>
    <w:p>
      <w:pPr>
        <w:pStyle w:val="ListBullet"/>
        <w:keepLines w:val="1"/>
        <w:keepNext w:val="1"/>
        <w:widowControl w:val="1"/>
      </w:pPr>
      <w:r>
        <w:t>Reciprocidad: los participantes reciben el informe de resultados agregado del sector</w:t>
      </w:r>
    </w:p>
    <w:p>
      <w:pPr>
        <w:pStyle w:val="ListBullet"/>
        <w:keepLines w:val="1"/>
        <w:keepNext w:val="1"/>
        <w:widowControl w:val="1"/>
      </w:pPr>
      <w:r>
        <w:t>Cumplimiento RGPD: conforme al Reglamento UE 2016/679 y la LOPDGDD (LO 3/2018)</w:t>
      </w:r>
    </w:p>
    <w:p>
      <w:pPr>
        <w:pStyle w:val="ListBullet"/>
        <w:keepLines w:val="1"/>
        <w:widowControl w:val="1"/>
      </w:pPr>
      <w:r>
        <w:t>No discriminación: los resultados no se utilizan para sancionar ni excluir organizaciones individuales</w:t>
      </w:r>
    </w:p>
    <w:p>
      <w:pPr>
        <w:pStyle w:val="Heading2"/>
        <w:keepNext/>
        <w:keepLines/>
      </w:pPr>
      <w:r>
        <w:rPr>
          <w:color w:val="0066CC"/>
        </w:rPr>
        <w:t>9. Referencias Metodológicas</w:t>
      </w:r>
    </w:p>
    <w:p>
      <w:pPr>
        <w:pStyle w:val="ListBullet"/>
        <w:keepLines w:val="1"/>
        <w:keepNext w:val="1"/>
        <w:widowControl w:val="1"/>
      </w:pPr>
      <w:r>
        <w:t>COSO ERM (2017). Enterprise Risk Management — Integrating with Strategy and Performance.</w:t>
      </w:r>
    </w:p>
    <w:p>
      <w:pPr>
        <w:pStyle w:val="ListBullet"/>
        <w:keepLines w:val="1"/>
        <w:keepNext w:val="1"/>
        <w:widowControl w:val="1"/>
      </w:pPr>
      <w:r>
        <w:t>COSO IC (2013). Internal Control — Integrated Framework.</w:t>
      </w:r>
    </w:p>
    <w:p>
      <w:pPr>
        <w:pStyle w:val="ListBullet"/>
        <w:keepLines w:val="1"/>
        <w:keepNext w:val="1"/>
        <w:widowControl w:val="1"/>
      </w:pPr>
      <w:r>
        <w:t>COSO / PwC (2026). Corporate Governance: Guiding Principles for Board Oversight.</w:t>
      </w:r>
    </w:p>
    <w:p>
      <w:pPr>
        <w:pStyle w:val="ListBullet"/>
        <w:keepLines w:val="1"/>
        <w:keepNext w:val="1"/>
        <w:widowControl w:val="1"/>
      </w:pPr>
      <w:r>
        <w:t>ISO/IEC 27004:2016. Information security management — Monitoring, measurement, analysis and evaluation.</w:t>
      </w:r>
    </w:p>
    <w:p>
      <w:pPr>
        <w:pStyle w:val="ListBullet"/>
        <w:keepLines w:val="1"/>
        <w:keepNext w:val="1"/>
        <w:widowControl w:val="1"/>
      </w:pPr>
      <w:r>
        <w:t>Basili, V. R., Caldiera, G., &amp; Rombach, H. D. (1994). The Goal Question Metric Approach. Encyclopedia of Software Engineering.</w:t>
      </w:r>
    </w:p>
    <w:p>
      <w:pPr>
        <w:pStyle w:val="ListBullet"/>
        <w:keepLines w:val="1"/>
        <w:keepNext w:val="1"/>
        <w:widowControl w:val="1"/>
      </w:pPr>
      <w:r>
        <w:t>ENISA (2025). NIS Investments 2025 — Main Report.</w:t>
      </w:r>
    </w:p>
    <w:p>
      <w:pPr>
        <w:pStyle w:val="ListBullet"/>
        <w:keepLines w:val="1"/>
        <w:keepNext w:val="1"/>
        <w:widowControl w:val="1"/>
      </w:pPr>
      <w:r>
        <w:t>NIST IR 8286r1 (2025). Integrating Cybersecurity and Enterprise Risk Management (ERM).</w:t>
      </w:r>
    </w:p>
    <w:p>
      <w:pPr>
        <w:pStyle w:val="ListBullet"/>
        <w:keepLines w:val="1"/>
        <w:keepNext w:val="1"/>
        <w:widowControl w:val="1"/>
      </w:pPr>
      <w:r>
        <w:t>FAIR Institute (2025). State of Cyber Risk Management Report.</w:t>
      </w:r>
    </w:p>
    <w:p>
      <w:pPr>
        <w:pStyle w:val="ListBullet"/>
        <w:keepLines w:val="1"/>
        <w:keepNext w:val="1"/>
        <w:widowControl w:val="1"/>
      </w:pPr>
      <w:r>
        <w:t>INCIBE (2026). Balance de Ciberseguridad 2025.</w:t>
      </w:r>
    </w:p>
    <w:p>
      <w:pPr>
        <w:pStyle w:val="ListBullet"/>
        <w:keepLines w:val="1"/>
        <w:widowControl w:val="1"/>
      </w:pPr>
      <w:r>
        <w:t>CCN-CERT (2025). Ciberamenazas y Tendencias — Edición 2025.</w:t>
      </w:r>
    </w:p>
    <w:p>
      <w:r>
        <w:rPr>
          <w:i/>
        </w:rPr>
        <w:t>Guía Metodológica — Kit COSO-Ciber v2025.1 |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