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Calificación de las 50 Métricas GQM-COSO bajo los 9 Criterios PRAGMATIC</w:t>
      </w:r>
    </w:p>
    <w:p>
      <w:pPr>
        <w:pStyle w:val="Heading3"/>
        <w:keepNext/>
        <w:keepLines/>
      </w:pPr>
      <w:r>
        <w:t>Kit GQM-PRAGMATIC v2025.1 · España / UE · Abril 2026</w:t>
      </w:r>
    </w:p>
    <w:p>
      <w:r>
        <w:rPr>
          <w:i/>
        </w:rPr>
        <w:t>"PRAGMATIC es el espejo incómodo que las organizaciones necesitan. Muestra no solo qué se mide, sino por qué debería medirse —o por qué debería dejarse de medir de una vez."</w:t>
      </w:r>
    </w:p>
    <w:p>
      <w:pPr>
        <w:pStyle w:val="Heading2"/>
        <w:keepNext/>
        <w:keepLines/>
      </w:pPr>
      <w:r>
        <w:rPr>
          <w:color w:val="0066CC"/>
        </w:rPr>
        <w:t>Instrucciones de Lectura de la Matriz</w:t>
      </w:r>
    </w:p>
    <w:p>
      <w:r>
        <w:rPr>
          <w:b/>
        </w:rPr>
        <w:t>Escala de calificación por criterio:</w:t>
      </w:r>
      <w:r>
        <w:t xml:space="preserve"> 1 (muy bajo) — 2 (bajo) — 3 (aceptable) — 4 (alto) — 5 (muy alto)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del criterio aplicado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¿La métrica anticipa problemas antes de que ocurran?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¿Está directamente relacionada con objetivos del negocio y el Consejo?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¿Un cambio en el valor genera una decisión o acción concreta?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¿Mide lo que afirma medir, sin artefactos ni sesgo de medición?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¿Tiene contexto suficiente para ser interpretado correctamente?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¿Los datos son exactos con margen de error conocido y controlado?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¿Está disponible cuando se necesita para tomar la decisión?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¿Su generación está libre de conflicto de interés?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¿El coste de medición es proporcional al valor informativo?</w:t>
            </w:r>
          </w:p>
        </w:tc>
      </w:tr>
    </w:tbl>
    <w:p/>
    <w:p>
      <w:r>
        <w:rPr>
          <w:b/>
        </w:rPr>
        <w:t>Puntuación total máxima:</w:t>
      </w:r>
      <w:r>
        <w:t xml:space="preserve"> 45 puntos | </w:t>
      </w:r>
      <w:r>
        <w:rPr>
          <w:b/>
        </w:rPr>
        <w:t>Umbral de implementación recomendada:</w:t>
      </w:r>
      <w:r>
        <w:t xml:space="preserve"> ≥ 27</w:t>
      </w:r>
    </w:p>
    <w:p>
      <w:r>
        <w:rPr>
          <w:b/>
        </w:rPr>
        <w:t>Clasificación:</w:t>
      </w:r>
      <w:r>
        <w:t xml:space="preserve"> 🟦 Premium (36–45) | 🟢 Aceptable (27–35) | 🟡 Condicional (18–26) | 🔴 Rediseñar (&lt;18)</w:t>
      </w:r>
    </w:p>
    <w:p>
      <w:pPr>
        <w:pStyle w:val="Heading2"/>
        <w:keepNext/>
        <w:keepLines/>
      </w:pPr>
      <w:r>
        <w:rPr>
          <w:color w:val="0066CC"/>
        </w:rPr>
        <w:t>Componente I — Gobernanza (M-GOB)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Frecuencia revisión ciberriesgo en el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consejeros con competencia ciber acreditada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Nivel de actividad del Comité Ciber del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Independencia del reporte del CISO al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M-GOB-05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Apetito de ciberriesgo cuantificado en euros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🟦 Premium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II — Estrategia y Apetito de Riesgo (M-EST)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Nivel de integración ciber en el plan estratégico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Metodología de cuantificación de riesgo utilizada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ALE total del portafolio de ciberriesgos (€/año)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Frecuencia de actualización de la cuantificación del 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M-EST-05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Ratio cobertura de seguro / ALE estimado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🟦 Premium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III-A — Detección y Respuesta (M-DET)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MTTD — Mean Time to Detect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MTTR — Mean Time to Respond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Tendencia trimestral del MTTD (delta 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incidentes detectados por controles propios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M-DET-05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Dwell Time medio del adversario (días)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🟦 Premium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III-B — Gestión de Vulnerabilidades (M-VUL)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Time-to-Patch crítico: mediana días CVSS ≥ 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CVE críticos sin parchear en &gt;30 días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vulnerabilidades priorizadas con EPSS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Cobertura VM en activos OT/IoT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M-VUL-05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% aplicaciones críticas con SBOM &lt;90 días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🟢 Aceptable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III-C — Gestión de Identidad y Acceso (M-IAM)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cuentas privilegiadas con MFA activo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accesos remotos y cloud con 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Días desde última revisión de cuentas privilegiadas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de desprovisioning en bajas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M-IAM-05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% identidades no humanas inventariadas y gobernadas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🟢 Aceptable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III-D — Riesgo de Terceros y SCM (M-SCM)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proveedores Tier-1 con evaluación &lt;12 meses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proveedores Tier-1 con monitorización continua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contratos críticos con cláusulas de seguridad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servicios críticos con BC ante fallo de proveedor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M-SCM-05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% apps críticas de terceros con SBOM monitorizado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🟢 Aceptable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III-E — Resiliencia y Continuidad (M-RES)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Ratio RTO real / RTO objetivo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Ratio RPO real / RPO objetivo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Número de pruebas DRP reales en 12 meses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ejercicios tabletop con participación C-level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M-RES-05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% backups críticos offline/inmutables verificados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🟦 Premium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III-F — Riesgos Emergentes: IA y PQC (M-EMG)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sistemas con inventario criptográfico completado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Estado de la hoja de ruta PQC (0–3)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reglas SOC para patrones de ataque automatizado por IA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🟢 Aceptable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sistemas IA con evaluación de riesgo pre-despliegue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M-EMG-05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% datos vida útil &gt;10 años evaluados para SNDL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🟢 Aceptable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Componente V — Información y Reporte al Consejo (M-RPT)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Frecuencia de reporte ciber al Consejo (veces/año)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indicadores del reporte en términos financieros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Calidad comparativa estado/apetito en el reporte (0–3)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Estado del protocolo de escalado ante incidentes (0–3)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M-RPT-05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Tiempo evento → conocimiento del Consejo (horas)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🟦 Premium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Métricas Financieras ROSI/ROI (M-ROI)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ROSI del programa de ciberseguridad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Gasto ciber / ingresos totales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Delta ALE: reducción de riesgo por programa (€/año)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Payback period de controles principales (meses)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🟦 Premium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M-ROI-05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Ratio inversión ciber / ALE total (%)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🟦 Premium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Estadístico de la Matriz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Total de métricas evaluadas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Métricas Premium (36–45) 🟦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37 (74%)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Métricas Aceptables (27–35) 🟢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13 (26%)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Métricas Condicionales (&lt;27) 🟡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 (0%)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media PRAGMATIC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37.4 / 45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máxima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Criterio más fuerte (promedio)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Relevante (R): 4.9/5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Criterio más débil (promedio)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Independiente (I): 3.5/5</w:t>
            </w:r>
          </w:p>
        </w:tc>
      </w:tr>
    </w:tbl>
    <w:p/>
    <w:p>
      <w:pPr>
        <w:pStyle w:val="Heading3"/>
        <w:keepNext/>
        <w:keepLines/>
      </w:pPr>
      <w:r>
        <w:t>Análisis por Criterio PRAGMATIC (promedio de las 50 métricas)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Promedio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 (P)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3.9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aceptable — oportunidades de mejora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(R)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4.8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Fortaleza sistémica del conjunto de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 (A)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4.6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Fortaleza sistémica del conjunto de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 (G)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4.1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calidad — seguir fortaleciendo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 (M)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4.7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Fortaleza sistémica del conjunto de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(Ac)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3.9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aceptable — oportunidades de mejora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 (T)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4.0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aceptable — oportunidades de mejora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 (I)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3.7 / 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aceptable — oportunidades de mejora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 (C)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3.8 / 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Nivel aceptable — oportunidades de mejora</w:t>
            </w:r>
          </w:p>
        </w:tc>
      </w:tr>
    </w:tbl>
    <w:p/>
    <w:p>
      <w:pPr>
        <w:pStyle w:val="Heading3"/>
        <w:keepNext/>
        <w:keepLines/>
      </w:pPr>
      <w:r>
        <w:t>Hallazgos Clave de la Evaluación PRAGMATIC</w:t>
      </w:r>
    </w:p>
    <w:p>
      <w:r>
        <w:rPr>
          <w:b/>
        </w:rPr>
        <w:t>Fortalezas del conjunto de métricas:</w:t>
      </w:r>
    </w:p>
    <w:p>
      <w:pPr>
        <w:pStyle w:val="ListNumber"/>
        <w:keepLines w:val="1"/>
        <w:keepNext w:val="1"/>
        <w:widowControl w:val="1"/>
      </w:pPr>
      <w:r>
        <w:br/>
        <w:t>Alta Relevancia (R ≈ 4.9/5): La totalidad de las métricas responde directamente a objetivos de negocio o regulatorios con impacto tangible. No hay métricas puramente técnicas desconectadas del lenguaje del Consejo.</w:t>
        <w:br/>
      </w:r>
    </w:p>
    <w:p>
      <w:pPr>
        <w:pStyle w:val="ListNumber"/>
        <w:keepLines w:val="1"/>
        <w:keepNext w:val="1"/>
        <w:widowControl w:val="1"/>
      </w:pPr>
      <w:r>
        <w:br/>
        <w:t>Alta Accionabilidad (A ≈ 4.4/5): La mayoría de las métricas permiten generar una acción o decisión concreta ante una variación de su valor. Especialmente destacables las métricas de la familia M-DET, M-IAM y M-RES.</w:t>
        <w:br/>
      </w:r>
    </w:p>
    <w:p>
      <w:pPr>
        <w:pStyle w:val="ListNumber"/>
        <w:keepLines w:val="1"/>
        <w:widowControl w:val="1"/>
      </w:pPr>
      <w:r>
        <w:br/>
        <w:t>Alta Significatividad (M ≈ 4.6/5): La contextualización de cada métrica con benchmarks sectoriales (IBM, ENISA, CIS Controls) garantiza que el Consejo pueda interpretar el dato sin necesitar traducción técnica.</w:t>
        <w:br/>
      </w:r>
    </w:p>
    <w:p>
      <w:r>
        <w:rPr>
          <w:b/>
        </w:rPr>
        <w:t>Alta Relevancia (R ≈ 4.9/5):</w:t>
      </w:r>
      <w:r>
        <w:t xml:space="preserve"> La totalidad de las métricas responde directamente a objetivos de negocio o regulatorios con impacto tangible. No hay métricas puramente técnicas desconectadas del lenguaje del Consejo.</w:t>
      </w:r>
    </w:p>
    <w:p>
      <w:r>
        <w:rPr>
          <w:b/>
        </w:rPr>
        <w:t>Alta Accionabilidad (A ≈ 4.4/5):</w:t>
      </w:r>
      <w:r>
        <w:t xml:space="preserve"> La mayoría de las métricas permiten generar una acción o decisión concreta ante una variación de su valor. Especialmente destacables las métricas de la familia M-DET, M-IAM y M-RES.</w:t>
      </w:r>
    </w:p>
    <w:p>
      <w:r>
        <w:rPr>
          <w:b/>
        </w:rPr>
        <w:t>Alta Significatividad (M ≈ 4.6/5):</w:t>
      </w:r>
      <w:r>
        <w:t xml:space="preserve"> La contextualización de cada métrica con benchmarks sectoriales (IBM, ENISA, CIS Controls) garantiza que el Consejo pueda interpretar el dato sin necesitar traducción técnica.</w:t>
      </w:r>
    </w:p>
    <w:p>
      <w:r>
        <w:rPr>
          <w:b/>
        </w:rPr>
        <w:t>Áreas de mejora identificadas:</w:t>
      </w:r>
    </w:p>
    <w:p>
      <w:pPr>
        <w:pStyle w:val="ListNumber"/>
        <w:keepLines w:val="1"/>
        <w:keepNext w:val="1"/>
        <w:widowControl w:val="1"/>
      </w:pPr>
      <w:r>
        <w:br/>
        <w:t>Independencia (I ≈ 3.5/5): El criterio más débil del sistema. Las métricas cuyo dato es generado por el mismo equipo que diseña los controles presentan riesgo de sesgo. Recomendación: Establecer auditoría independiente o validación cruzada para las métricas de las familias M-GOB, M-RPT y M-IAM al menos anualmente.</w:t>
        <w:br/>
      </w:r>
    </w:p>
    <w:p>
      <w:pPr>
        <w:pStyle w:val="ListNumber"/>
        <w:keepLines w:val="1"/>
        <w:keepNext w:val="1"/>
        <w:widowControl w:val="1"/>
      </w:pPr>
      <w:r>
        <w:br/>
        <w:t>Precisión (Ac ≈ 3.8/5): Las métricas basadas en modelos de cuantificación financiera (M-EST-03, M-ROI-01, M-ROI-03) tienen precisión inherentemente limitada por la calidad de los datos de entrada al modelo FAIR/ALE. Recomendación: Documentar los rangos de incertidumbre (intervalos de confianza) junto al valor puntual.</w:t>
        <w:br/>
      </w:r>
    </w:p>
    <w:p>
      <w:pPr>
        <w:pStyle w:val="ListNumber"/>
        <w:keepLines w:val="1"/>
        <w:widowControl w:val="1"/>
      </w:pPr>
      <w:r>
        <w:br/>
        <w:t>Oportunidad en riesgos emergentes (T ≈ 3.6/5 para M-EMG): Las métricas de la familia de riesgos emergentes (especialmente M-EMG-05 sobre datos SNDL) presentan menor oportunidad porque los datos requieren procesos de auditoría periódicos. Recomendación: Automatizar parcialmente el inventario criptográfico con herramientas de crypto-agility scanning.</w:t>
        <w:br/>
      </w:r>
    </w:p>
    <w:p>
      <w:r>
        <w:rPr>
          <w:b/>
        </w:rPr>
        <w:t>Independencia (I ≈ 3.5/5):</w:t>
      </w:r>
      <w:r>
        <w:t xml:space="preserve"> El criterio más débil del sistema. Las métricas cuyo dato es generado por el mismo equipo que diseña los controles presentan riesgo de sesgo. </w:t>
      </w:r>
      <w:r>
        <w:rPr>
          <w:b/>
        </w:rPr>
        <w:t>Recomendación:</w:t>
      </w:r>
      <w:r>
        <w:t xml:space="preserve"> Establecer auditoría independiente o validación cruzada para las métricas de las familias M-GOB, M-RPT y M-IAM al menos anualmente.</w:t>
      </w:r>
    </w:p>
    <w:p>
      <w:r>
        <w:rPr>
          <w:b/>
        </w:rPr>
        <w:t>Precisión (Ac ≈ 3.8/5):</w:t>
      </w:r>
      <w:r>
        <w:t xml:space="preserve"> Las métricas basadas en modelos de cuantificación financiera (M-EST-03, M-ROI-01, M-ROI-03) tienen precisión inherentemente limitada por la calidad de los datos de entrada al modelo FAIR/ALE. </w:t>
      </w:r>
      <w:r>
        <w:rPr>
          <w:b/>
        </w:rPr>
        <w:t>Recomendación:</w:t>
      </w:r>
      <w:r>
        <w:t xml:space="preserve"> Documentar los rangos de incertidumbre (intervalos de confianza) junto al valor puntual.</w:t>
      </w:r>
    </w:p>
    <w:p>
      <w:r>
        <w:rPr>
          <w:b/>
        </w:rPr>
        <w:t>Oportunidad en riesgos emergentes (T ≈ 3.6/5 para M-EMG):</w:t>
      </w:r>
      <w:r>
        <w:t xml:space="preserve"> Las métricas de la familia de riesgos emergentes (especialmente M-EMG-05 sobre datos SNDL) presentan menor oportunidad porque los datos requieren procesos de auditoría periódicos. </w:t>
      </w:r>
      <w:r>
        <w:rPr>
          <w:b/>
        </w:rPr>
        <w:t>Recomendación:</w:t>
      </w:r>
      <w:r>
        <w:t xml:space="preserve"> Automatizar parcialmente el inventario criptográfico con herramientas de crypto-agility scanning.</w:t>
      </w:r>
    </w:p>
    <w:p>
      <w:pPr>
        <w:pStyle w:val="Heading2"/>
        <w:keepNext/>
        <w:keepLines/>
      </w:pPr>
      <w:r>
        <w:rPr>
          <w:color w:val="0066CC"/>
        </w:rPr>
        <w:t>Ficha PRAGMATIC Detallada — Métricas de Máxima Prioridad</w:t>
      </w:r>
    </w:p>
    <w:p>
      <w:r>
        <w:t>Las siguientes fichas detallan el razonamiento criterio a criterio para las métricas con mayor impacto estratégico (puntuación ≥ 40):</w:t>
      </w:r>
    </w:p>
    <w:p>
      <w:pPr>
        <w:pStyle w:val="Heading3"/>
        <w:keepNext/>
        <w:keepLines/>
      </w:pPr>
      <w:r>
        <w:t>Ficha PRAGMATIC: M-IAM-01 — % Cuentas Privilegiadas con MFA Activo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Razonamiento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la cobertura de MFA cae por debajo del 100%, predice exposición al vector de ataque de credenciales comprometidas, responsable del 74% de las brechas (Verizon DBIR 2025).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 Controls v8 (Control 6.3) la considera obligatoria. NIS2 Art. 21(2j) la exige. El Consejo comprende intuitivamente el riesgo de cuentas sin segundo factor.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la puntuación &lt; 100%, la acción es directa: identificar y habilitar MFA en las cuentas descubiertas. Sin ambigüedad de interpretación.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dato proviene de la plataforma IAM/PAM con informes automatizados. Difícil de manipular sin dejar rastro en los logs de auditoría.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benchmark es inequívoco: 100% es el objetivo. Cualquier valor inferior está justificado sólo si existe compensación documental.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dato es binario por cuenta (tiene MFA / no tiene MFA), por lo que la precisión es muy alta si el inventario de cuentas privilegiadas es completo.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plataforma PAM puede reportar en tiempo real. El 4 refleja que en organizaciones sin PAM la recolección puede requerir procesos manuales trimestrales.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equipo IAM genera el dato y podría excluir cuentas 'de servicio' de la contabilización. Requiere auditoría independiente de la completitud del inventario.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extracción del dato desde una plataforma PAM es automática y tiene coste marginal mínimo. Sin PAM, el coste de inventariado manual es relevante.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41/45 🟦 Premium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de implementación obligatoria. Control compensatorio: auditoría semestral independiente del inventario de cuentas privilegiadas.</w:t>
            </w:r>
          </w:p>
        </w:tc>
      </w:tr>
    </w:tbl>
    <w:p/>
    <w:p>
      <w:pPr>
        <w:pStyle w:val="Heading3"/>
        <w:keepNext/>
        <w:keepLines/>
      </w:pPr>
      <w:r>
        <w:t>Ficha PRAGMATIC: M-DET-03 — Tendencia Trimestral del MTTD (delta 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Razonamiento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Una tendencia al alza del MTTD predice deterioro de la postura de detección antes de que se materialice un incidente mayor. Es una métrica adelantada (leading indicator).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MTTD es el KPI más citado por el Consejo y el regulador como indicador de la salud del SOC. IBM Cost of Data Breach 2025 confirma: cada hora adicional de MTTD aumenta el coste de la brecha.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Una tendencia positiva (MTTD en aumento) activa la revisión de reglas de detección SIEM, inversión en threat intelligence y revisión de la cobertura de sensores.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que los incidentes previos al ticket formal estén correctamente timestamped. Riesgo: subregistro de la hora de compromiso real en incidentes sin forense completo.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delta porcentual trimestral es más interpretable que el valor absoluto: un MTTD de 72 horas puede ser excelente en algunos sectores y catastrófico en otros. La tendencia es universal.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alta si el SIEM está bien calibrado y los tiempos de compromiso son verificables. Incertidumbre inherente en incidentes sin evidencia de timestamp de compromiso inicial.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cálculo trimestral es compatible con el ciclo de reporte al Consejo. Puede calcularse en tiempo real sobre el SIEM si existe.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SOC que genera el dato podría tener incentivo perverso para clasificar tardíamente los incidentes. Requiere auditoría independiente de los registros de tiempos de detección.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existe SIEM, el cálculo es automático y de coste marginal nulo. Sin SIEM, el coste de reconstrucción manual de la línea temporal de incidentes es elevado.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40/45 🟦 Premium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Implementar como KRI (Key Risk Indicator) formal en el dashboard del CISO y en el reporte trimestral al Consejo.</w:t>
            </w:r>
          </w:p>
        </w:tc>
      </w:tr>
    </w:tbl>
    <w:p/>
    <w:p>
      <w:pPr>
        <w:pStyle w:val="Heading3"/>
        <w:keepNext/>
        <w:keepLines/>
      </w:pPr>
      <w:r>
        <w:t>Ficha PRAGMATIC: M-VUL-01 — Time-to-Patch Crítico (CVSS ≥ 9.0)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Razonamiento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TTP de vulnerabilidades críticas predice directamente la probabilidad de explotación: con TtE &lt;6 horas (CISA KEV 2025), parchear tardíamente es estadísticamente equivalente a no parchear.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Citada explícitamente en la Directiva NIS2 (Art. 21.2e) y el ENS (Medida op.exp.4). Referenciada por ENISA como uno de los tres indicadores de madurez más críticos en el sector.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tiempo en días es directamente accionable: activa la revisión del proceso de patch management, la comunicación con el área IT y la gestión de excepciones temporales con compensatorios.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dato proviene del escáner de vulnerabilidades (Qualys, Tenable, Rapid7), que timestampea automáticamente detección y remediación. Difícil de manipular si el escáner es externo.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Benchmarks ampliamente disponibles: CISA recomienda &lt;48h para KEV; CIS Controls v8 &lt;7 días para críticas; ENISA indica mediana sectorial de 30+ días. El contexto es inequívoco.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alta en entornos con escaneo continuo. Menor en entornos con cobertura parcial de activos (OT, shadow IT, cloud no registrado en CMDB).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el escáner genera alertas automáticas, el dato es casi en tiempo real. La mediana puede calcularse mensualmente para el reporte.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equipo de operaciones IT que debe parchear también suele tener acceso al escáner. Recomendable: escáner externo o validación independiente de cierre de vulnerabilidades.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rentable: los escáneres de vulnerabilidades son herramientas de coste conocido con ROI amplísimo dado el impacto de las brechas por vulnerabilidades no parcheadas.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40/45 🟦 Premium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KRI crítico (IAT). Debe aparecer en el dashboard mensual del CISO y en el reporte trimestral al Consejo.</w:t>
            </w:r>
          </w:p>
        </w:tc>
      </w:tr>
    </w:tbl>
    <w:p/>
    <w:p>
      <w:r>
        <w:rPr>
          <w:i/>
        </w:rPr>
        <w:t>Matriz PRAGMATIC Completa — Kit GQM-PRAGMATIC v2025.1 | Abril 2026</w:t>
      </w:r>
      <w:r/>
      <w:r>
        <w:br/>
      </w:r>
      <w:r>
        <w:rPr>
          <w:i/>
        </w:rPr>
        <w:t>Metodología: Brotby &amp; Hinson (2013) PRAGMATIC · NIST SP 800-55 Rev. 2 (2022) · ISACA CISM · ISO/IEC 27004:2016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