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a Requisitos Normativos</w:t>
      </w:r>
    </w:p>
    <w:p>
      <w:pPr>
        <w:pStyle w:val="Heading2"/>
        <w:keepNext/>
        <w:keepLines/>
      </w:pPr>
      <w:r>
        <w:rPr>
          <w:color w:val="0066CC"/>
        </w:rPr>
        <w:t>Tabla de Trazabilidad: Encuesta COSO-Ciber → Marcos Regulatorios y Estándares</w:t>
      </w:r>
    </w:p>
    <w:p>
      <w:pPr>
        <w:pStyle w:val="Heading3"/>
        <w:keepNext/>
        <w:keepLines/>
      </w:pPr>
      <w:r>
        <w:t>Kit COSO-Ciber v2025.1</w:t>
      </w:r>
    </w:p>
    <w:p>
      <w:r>
        <w:rPr>
          <w:i/>
        </w:rPr>
        <w:t>"La trazabilidad normativa convierte un instrumento de diagnóstico en un activo de cumplimiento. Cada pregunta que responde el encuestado deja un rastro verificable hacia el requisito regulatorio que justifica su existencia."</w:t>
      </w:r>
    </w:p>
    <w:p>
      <w:pPr>
        <w:pStyle w:val="Heading2"/>
        <w:keepNext/>
        <w:keepLines/>
      </w:pPr>
      <w:r>
        <w:rPr>
          <w:color w:val="0066CC"/>
        </w:rPr>
        <w:t>Clave de Marcos Normativos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COSO-ERM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Enterprise Risk Management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ERM 2017 — 20 Principios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Internal Control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IC 2013 — 17 Principios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COSO-CGF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Corporate Governance Framework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CGF 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UE 2022/2555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Digital Operational Resilience 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UE 2022/2554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Esquema Nacional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 Decreto 311/2022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ISO27001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Cláusulas y Anexo 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NIST-CSF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 (2024)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NIST-ERM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IR 8286r1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IR 8286r1 (2025)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 Analysis of Information Risk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ANSI/OpenFAIR 2023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General de Protección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UE 2016/679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CMMC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Cybersecurity Maturity Model Certification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CMMC 2.0 (DoD, 2024)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CCNGUIA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Guías CCN-STIC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CCN-STIC-800 series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de Mapeo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 ERM (Principio)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 IC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 CGF 2026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(Artículo)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(Artículo)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(Anexo/Art.)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NIST-ERM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FAIR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P-0.5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Clasificación regulatoria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P-0.6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Presupuesto ciber % TI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 (Demuestra compromiso)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Dimensión Org.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5.1, 6.3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P-0.7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Tendencia presupuestaria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Supervisión del ciberriesgo por el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 (Supervisión del consejo)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 (nuclear)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24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P-1.2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Competencia ciber del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P-2, P-4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5.1, 7.2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Comité especializado de ciberseguridad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P-2, P-3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P-1.4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Línea de reporte del CISO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P-2, P-3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CC1.2, CC1.3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5(2), Art. 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 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37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Declaración de apetito de ciberriesgo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 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6(8)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Marco Gov.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5.1, 6.1.1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OB-1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P-1.6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Cultura organizacional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P-4, P-5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CC1.4, CC1.5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21(2g)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Dimensión Org.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GV.AT-02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25 (PbD)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 (Personas)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21(2g)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13(6)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Marco Form.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7.2, 7.3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32(1b)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Gestión del talento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21(2g)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Integración ciber en la estrategia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 P-7 (Objetivos)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4.1, 6.1.1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Cuantificación financiera del ciberriesgo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 (Evaluación de riesgos)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 Modelo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P-2.3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Expresión del apetito de 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 (Respuesta al riesgo)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6(8), Art. 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5.1, 6.1.1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OB-1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Evaluación ciber en iniciativas estratégicas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P-7, 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21(2b)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6.1.2, 8.3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35 (PIA)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Inteligencia de amenazas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 (Contexto externo)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P-2.6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Seguro de ciberriesgo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 (Respuesta al riesgo)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6(7)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Registro de riesgos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P-8, P-10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CC3.2, 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Anexo II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6.1.2, 8.2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P-3.2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P-10,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Dimensión Req.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A-8.8, A-8.19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ID.RA-01, PR.IP-12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32(1b)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P-3.3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Time-to-Patch (TTP)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P-11, 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9(2), Art. 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D.CC.3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PR.IP-12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32(1b)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P-3.4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Time-to-Exploit (TtE) como KRI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P-11, 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P-3.5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MTTD y MTTR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P-11, P-12, 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CC4.1, CC7.4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21(2b), Art. 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10, Art. 18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D.CC.5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A-5.26, A-5.27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DE.CM, RS.RP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33(1)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P-3.6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Gestión IAM/PAM y cobertura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P-10,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CC6.1, CC6.2, CC6.3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21(2i)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D.AC.1, D.AC.2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A-5.15, A-8.2, A-8.5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PR.AA-01 a 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25, 32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Arquitectura Zero Trust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CC6.6, CC6.7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D.SE.3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A-8.2, A-8.20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PR.AA-05, PR.PS-04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P-3.8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Riesgo de terceros y supply chain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CC9.1, CC9.2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21(2d), Art. 22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28, Art. 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Marco Prov.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A-5.19 a 5.22, A-8.30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ID.SC-01 a 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28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P-3.9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Resiliencia y continuidad de negocio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P-11, 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CC9.1, CC7.5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21(2c)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11, Art. 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Dimensión Cont.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A-5.29, A-5.30, A-8.13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PR.IP-09, RC.RP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32(1c)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Seguridad OT/IoT/ICS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P-10,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CC6.6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21(2h), Anexo I/II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A-8.9, A-8.22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PR.PS, ID.AM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P-3.11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Vista de cartera del ciberriesgo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6.1.2, 9.1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 Portfolio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P-4.1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IA adversarial como riesgo emergente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 (Contexto)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21(2a,2e)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A-5.7, A-8.16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P-4.2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Quantum readiness / PQC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 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9(3b)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A-8.24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PR.DS-10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32(1a)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P-4.3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Seguridad de IA propia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A-5.7, A-8.25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ID.RA, PR.PS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EU AI Act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P-4.4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Seguridad cloud/multicloud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P-10, P-11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CC6.6, CC6.7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21(2f,2h)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9(3), Art. 28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D.SE.3, D.SE.4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A-5.23, A-8.10, A-8.23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PR.AA, PR.DS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28, 46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P-5.1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Cumplimiento NIS2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P-8, 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CC2.2, CC4.1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Arts. 18–23 (todos)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4.2, 9.3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GV.PO-01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P-5.2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Proceso de notificación de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P-17, 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CC7.4, CC7.5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23 (plazos 24h/72h)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19 (plazos 4h/24h)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40-41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A-5.26, A-6.8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RS.CO-02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33 (plazos 72h)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P-5.3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Certificaciones vigentes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24 (esquemas cert.)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RD 311/2022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ISO 27001 completo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P-5.4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Cumplimiento como driver de inversión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P-6.1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Madurez general del programa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 (Actividades de control)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CC1–CC9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Arts. 6–25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completo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P-6.2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Benchmarking externo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6(8)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9.1, 9.3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ID.IM-01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P-6.3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Frecuencia evaluaciones independientes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P-16, P-17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CC4.1, CC4.2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21(2f)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26 (TLPT)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Auditorías ENS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9.2, 9.3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ID.IM-02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32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P-6.4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Plataforma GRC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CC4.1, CC5.3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21(2a)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P-6.5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Proceso post-incidente (lecciones)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P-16, P-17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23(6) (informe final)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19(4)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A-5.27, A-5.26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RC.IM-01, 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33(5)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P-7.1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Calidad del reporte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P-19, 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P-7.2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Indicadores en el reporte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P-19, 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20(2), Art. 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5(2), Art. 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5.1, 9.1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P-7.3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Protocolo de escalado a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P-18, P-19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CC7.4, CC2.2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20(2), Art. 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19, Art. 5(2)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RS.CO-03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33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P-7.4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Comunicación externa ante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P-19, P-20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23(3), Art. 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19(3)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A-5.26, A-6.8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RS.CO-01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34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P-8.1 ⚡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Medición del ROI de la inversión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8(1)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ROSI Fórmula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P-8.2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Autoevaluación IGM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P-11, P-16, P-17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6(1)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ID.IM-02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P-8.3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Barreras para la mejora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P-4,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7.2, 9.3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Comparativa con la media del sector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CC4.2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ID.IM-01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P-9.2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Incidentes sufridos (tipología)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P-16, P-17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CC7.4, CC7.5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A-5.27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RS.RP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33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Prioridades de inversión 2026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 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CC3.3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Arts. 6–25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6.1.3, 9.3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 §3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P-10.1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Valoración marco COSO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IR-8286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P-10.2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transformadora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P-10.3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Mayor reto 2026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P-10.4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Indicadores a incorporar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de Densidad Normativa por Pregunta</w:t>
      </w:r>
    </w:p>
    <w:p>
      <w:r>
        <w:t>Esta tabla resume el número de marcos normativos que cada pregunta activa, como indicador de su peso regulatorio y su relevancia para el cumplimiento multimarca.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Activos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Regulatorio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IAT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P-3.5 (MTTD/MTTR)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P-3.6 (IAM/MFA)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P-3.8 (Supply Chain)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P-3.9 (Resiliencia/BCP)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P-5.2 (Notificación incidentes)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P-7.3 (Protocolo escalado)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P-2.2 (Cuantificación FAIR)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P-3.3 (Time-to-Patch)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P-4.4 (Seguridad cloud)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★★★★☆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P-4.2 (Quantum/PQC)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★★★☆☆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⚡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P-4.3 (Seguridad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★★★☆☆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P-5.3 (Certificaciones)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★★★☆☆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Cobertura de Marcos por Bloque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 ERM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FAIR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I —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II — Estrategia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III — Desempeño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IV — Riesgos Emergentes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V — Regulatorio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VI — Revisión/Mejora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VII — Reporte/Comunicación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VIII — ROI/IGM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IX — Perspectiva comparada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Notas de Interpretación</w:t>
      </w:r>
    </w:p>
    <w:p>
      <w:pPr>
        <w:pStyle w:val="ListNumber"/>
        <w:keepLines w:val="1"/>
        <w:keepNext w:val="1"/>
        <w:widowControl w:val="1"/>
      </w:pPr>
      <w:r>
        <w:t>COSO ERM Principios numerados según la estructura del documento COSO ERM 2017 (20 Principios agrupados en 5 Componentes).</w:t>
      </w:r>
    </w:p>
    <w:p>
      <w:pPr>
        <w:pStyle w:val="ListNumber"/>
        <w:keepLines w:val="1"/>
        <w:keepNext w:val="1"/>
        <w:widowControl w:val="1"/>
      </w:pPr>
      <w:r>
        <w:t>COSO IC componentes referenciados por códigos CC del SOC 2 Trust Services Criteria (derivados directamente de COSO IC 2013).</w:t>
      </w:r>
    </w:p>
    <w:p>
      <w:pPr>
        <w:pStyle w:val="ListNumber"/>
        <w:keepLines w:val="1"/>
        <w:keepNext w:val="1"/>
        <w:widowControl w:val="1"/>
      </w:pPr>
      <w:r>
        <w:t>NIS2 artículos según la numeración de la Directiva (UE) 2022/2555 del Parlamento Europeo y del Consejo.</w:t>
      </w:r>
    </w:p>
    <w:p>
      <w:pPr>
        <w:pStyle w:val="ListNumber"/>
        <w:keepLines w:val="1"/>
        <w:keepNext w:val="1"/>
        <w:widowControl w:val="1"/>
      </w:pPr>
      <w:r>
        <w:t>DORA artículos según el Reglamento (UE) 2022/2554.</w:t>
      </w:r>
    </w:p>
    <w:p>
      <w:pPr>
        <w:pStyle w:val="ListNumber"/>
        <w:keepLines w:val="1"/>
        <w:keepNext w:val="1"/>
        <w:widowControl w:val="1"/>
      </w:pPr>
      <w:r>
        <w:t>ENS referenciado según el Real Decreto 311/2022 y sus Guías CCN-STIC asociadas.</w:t>
      </w:r>
    </w:p>
    <w:p>
      <w:pPr>
        <w:pStyle w:val="ListNumber"/>
        <w:keepLines w:val="1"/>
        <w:keepNext w:val="1"/>
        <w:widowControl w:val="1"/>
      </w:pPr>
      <w:r>
        <w:t>ISO 27001:2022 referenciado por cláusulas (5–10) y controles del Anexo A (A-5 a A-8).</w:t>
      </w:r>
    </w:p>
    <w:p>
      <w:pPr>
        <w:pStyle w:val="ListNumber"/>
        <w:keepLines w:val="1"/>
        <w:keepNext w:val="1"/>
        <w:widowControl w:val="1"/>
      </w:pPr>
      <w:r>
        <w:t>NIST CSF 2.0 referenciado por función (GV, ID, PR, DE, RS, RC) y categoría.</w:t>
      </w:r>
    </w:p>
    <w:p>
      <w:pPr>
        <w:pStyle w:val="ListNumber"/>
        <w:keepLines w:val="1"/>
        <w:keepNext w:val="1"/>
        <w:widowControl w:val="1"/>
      </w:pPr>
      <w:r>
        <w:t>FAIR referenciado según la ontología FAIR (Open FAIR Taxonomy, 2023).</w:t>
      </w:r>
    </w:p>
    <w:p>
      <w:pPr>
        <w:pStyle w:val="ListNumber"/>
        <w:keepLines w:val="1"/>
        <w:widowControl w:val="1"/>
      </w:pPr>
      <w:r>
        <w:t>EU AI Act aplica específicamente a P-4.3 (sistemas de IA de alto riesgo; Arts. 9–15 del Reglamento UE 2024/1689).</w:t>
      </w:r>
    </w:p>
    <w:p>
      <w:r>
        <w:rPr>
          <w:i/>
        </w:rPr>
        <w:t>Mapeo Normativo — Kit COSO-Ciber v2025.1 |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