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Cálculo del IGM y ROI de Ciberseguridad</w:t>
      </w:r>
    </w:p>
    <w:p>
      <w:pPr>
        <w:pStyle w:val="Heading2"/>
        <w:keepNext/>
        <w:keepLines/>
      </w:pPr>
      <w:r>
        <w:rPr>
          <w:color w:val="0066CC"/>
        </w:rPr>
        <w:t>Especificación Técnica para Implementación</w:t>
      </w:r>
    </w:p>
    <w:p>
      <w:pPr>
        <w:pStyle w:val="Heading3"/>
        <w:keepNext/>
        <w:keepLines/>
      </w:pPr>
      <w:r>
        <w:t>Kit COSO-Ciber v2025.1</w:t>
      </w:r>
    </w:p>
    <w:p>
      <w:r>
        <w:rPr>
          <w:i/>
        </w:rPr>
        <w:t>"Lo que no se puede medir en euros rara vez llega al orden del día del Comité de Dirección. Esta plantilla construye el puente entre el lenguaje ciber y el lenguaje del CFO."</w:t>
      </w:r>
    </w:p>
    <w:p>
      <w:pPr>
        <w:pStyle w:val="Heading2"/>
        <w:keepNext/>
        <w:keepLines/>
      </w:pPr>
      <w:r>
        <w:rPr>
          <w:color w:val="0066CC"/>
        </w:rPr>
        <w:t>Descripción General</w:t>
      </w:r>
    </w:p>
    <w:p>
      <w:r>
        <w:t xml:space="preserve">La presente especificación describe la estructura de la </w:t>
      </w:r>
      <w:r>
        <w:rPr>
          <w:b/>
        </w:rPr>
        <w:t>Plantilla Excel de Cálculo del Índice Global de Madurez (IGM) y el Retorno sobre la Inversión en Seguridad (ROSI/ROI-Ciber)</w:t>
      </w:r>
      <w:r>
        <w:t>, diseñada para implementarse directamente en Microsoft Excel o en cualquier hoja de cálculo compatible (Google Sheets, LibreOffice Calc).</w:t>
      </w:r>
    </w:p>
    <w:p>
      <w:r>
        <w:rPr>
          <w:b/>
        </w:rPr>
        <w:t>Nombre del archivo:</w:t>
      </w:r>
      <w:r>
        <w:t xml:space="preserve"> </w:t>
      </w:r>
      <w:r>
        <w:rPr>
          <w:rFonts w:ascii="Courier New" w:hAnsi="Courier New"/>
          <w:sz w:val="18"/>
        </w:rPr>
        <w:t>COSO_Ciber_IGM_ROI_v2025.xlsx</w:t>
      </w:r>
      <w:r/>
      <w:r>
        <w:br/>
      </w:r>
      <w:r>
        <w:rPr>
          <w:b/>
        </w:rPr>
        <w:t>Hojas incluidas:</w:t>
      </w:r>
      <w:r>
        <w:t xml:space="preserve"> 8 pestañas interconectadas (índice a continuación)</w:t>
      </w:r>
    </w:p>
    <w:p>
      <w:pPr>
        <w:pStyle w:val="Heading2"/>
        <w:keepNext/>
        <w:keepLines/>
      </w:pPr>
      <w:r>
        <w:rPr>
          <w:color w:val="0066CC"/>
        </w:rPr>
        <w:t>Estructura de Pestañas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Nombre de la Pestaña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Color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Propósito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📋 INICIO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Azul oscuro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Portada, instrucciones de uso y navegación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📥 DATOS_ENCUESTA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Gris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Entrada de datos de la encuesta (manual o importación CSV)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🧮 CONVERSIÓN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Amarillo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Tabla de conversión de respuestas categóricas a puntuaciones numéricas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📊 IGM_CÁLCULO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Cálculo del IGM por componente COSO y puntuación global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💰 ROI_ROSI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Naranja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Módulo de cuantificación financiera del riesgo y cálculo ROSI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🎯 DIAGNÓSTICO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Rojo/Verde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Semáforo de estado por IAT y recomendaciones priorizadas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📈 DASHBOARD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Azul claro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Cuadro de mando visual (gráficos de radar, barras, indicadores)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8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📝 INFORME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Blanco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Plantilla de informe ejecutivo generado automáticamente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Pestaña 1: INICIO</w:t>
      </w:r>
    </w:p>
    <w:p>
      <w:pPr>
        <w:pStyle w:val="Heading3"/>
        <w:keepNext/>
        <w:keepLines/>
      </w:pPr>
      <w:r>
        <w:t>Campos de Cabecera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Organización: [Campo editable]</w:t>
        <w:br/>
        <w:t>Sector de actividad: [Desplegable — 14 opciones según P-0.2]</w:t>
        <w:br/>
        <w:t>Fecha de evaluación: [Fecha automática + campo editable]</w:t>
        <w:br/>
        <w:t>Evaluador/a: [Campo editable]</w:t>
        <w:br/>
        <w:t>Versión del kit: COSO-Ciber v2025.1</w:t>
        <w:br/>
      </w:r>
    </w:p>
    <w:p>
      <w:pPr>
        <w:pStyle w:val="Heading3"/>
        <w:keepNext/>
        <w:keepLines/>
      </w:pPr>
      <w:r>
        <w:t>Instrucciones de Uso (texto)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PASO 1 → Ir a pestaña DATOS_ENCUESTA e introducir las respuestas de la encuesta</w:t>
        <w:br/>
        <w:t>PASO 2 → La pestaña CONVERSIÓN convierte automáticamente respuestas a puntuaciones numéricas</w:t>
        <w:br/>
        <w:t>PASO 3 → La pestaña IGM_CÁLCULO calcula el Índice Global de Madurez automáticamente</w:t>
        <w:br/>
        <w:t>PASO 4 → Si dispone de datos financieros, completar la pestaña ROI_ROSI para el cálculo del ROSI</w:t>
        <w:br/>
        <w:t>PASO 5 → Revisar el DIAGNÓSTICO y las recomendaciones priorizadas</w:t>
        <w:br/>
        <w:t>PASO 6 → El DASHBOARD genera visualizaciones automáticas con los datos introducidos</w:t>
        <w:br/>
        <w:t>PASO 7 → La pestaña INFORME genera un borrador de reporte ejecutivo listo para presentar</w:t>
        <w:br/>
      </w:r>
    </w:p>
    <w:p>
      <w:pPr>
        <w:pStyle w:val="Heading2"/>
        <w:keepNext/>
        <w:keepLines/>
      </w:pPr>
      <w:r>
        <w:rPr>
          <w:color w:val="0066CC"/>
        </w:rPr>
        <w:t>Pestaña 2: DATOS_ENCUESTA</w:t>
      </w:r>
    </w:p>
    <w:p>
      <w:pPr>
        <w:pStyle w:val="Heading3"/>
        <w:keepNext/>
        <w:keepLines/>
      </w:pPr>
      <w:r>
        <w:t>Estructura (columnas)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Cabecera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Validación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Código_Pregunta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Lista (P-0.1 … P-10.4)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Bloque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Lista (0, I, II, … X)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Respuesta_Código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Lista según opciones de cada pregunta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Respuesta_Texto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Autocompletado desde tabla de lookup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Puntuación_Asignada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Número (1–5)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Fórmula desde pestaña CONVERSIÓN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F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Es_IAT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Sí/No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Fórmula (SI código en lista_IATs, "Sí", "No")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G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Notas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Texto libre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Campo editable</w:t>
            </w:r>
          </w:p>
        </w:tc>
      </w:tr>
    </w:tbl>
    <w:p/>
    <w:p>
      <w:pPr>
        <w:pStyle w:val="Heading3"/>
        <w:keepNext/>
        <w:keepLines/>
      </w:pPr>
      <w:r>
        <w:t>Tabla de Entrada de Datos (filas por pregunta)</w:t>
      </w:r>
    </w:p>
    <w:p>
      <w:r>
        <w:t>Filas P-0.1 a P-10.4 (59 preguntas). Las columnas E y F se calculan automáticamente.</w:t>
      </w:r>
    </w:p>
    <w:p>
      <w:pPr>
        <w:pStyle w:val="Heading2"/>
        <w:keepNext/>
        <w:keepLines/>
      </w:pPr>
      <w:r>
        <w:rPr>
          <w:color w:val="0066CC"/>
        </w:rPr>
        <w:t>Pestaña 3: CONVERSIÓN</w:t>
      </w:r>
    </w:p>
    <w:p>
      <w:pPr>
        <w:pStyle w:val="Heading3"/>
        <w:keepNext/>
        <w:keepLines/>
      </w:pPr>
      <w:r>
        <w:t>Tabla de Conversión de Respuestas a Puntuaciones (1–5)</w:t>
      </w:r>
    </w:p>
    <w:p>
      <w:pPr>
        <w:pStyle w:val="Heading4"/>
        <w:keepNext/>
        <w:keepLines/>
      </w:pPr>
      <w:r>
        <w:t>Preguntas de Escala Directa (1–5)</w:t>
      </w:r>
    </w:p>
    <w:p>
      <w:r>
        <w:t>Para preguntas como P-2.1, P-6.1, P-8.2: la puntuación es igual al valor seleccionado.</w:t>
      </w:r>
    </w:p>
    <w:p>
      <w:pPr>
        <w:pStyle w:val="Heading4"/>
        <w:keepNext/>
        <w:keepLines/>
      </w:pPr>
      <w:r>
        <w:t>Preguntas de Selección Única con Escala Implícita</w:t>
      </w:r>
    </w:p>
    <w:p>
      <w:r>
        <w:rPr>
          <w:b/>
        </w:rPr>
        <w:t>Ejemplo: P-1.1 (Supervisión del consejo)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Respuesta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En cada sesión del consejo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Trimestralmente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Semestralmente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Anualmente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Solo ante incidentes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El Consejo no revisa el ciberriesgo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No existe Consejo formal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N/A</w:t>
            </w:r>
          </w:p>
        </w:tc>
      </w:tr>
    </w:tbl>
    <w:p/>
    <w:p>
      <w:r>
        <w:rPr>
          <w:b/>
        </w:rPr>
        <w:t>Ejemplo: P-3.3 (Time-to-Patch)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Respuesta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&lt; 24 horas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1–7 días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8–30 días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31–90 días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&gt; 90 días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No se mide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F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1</w:t>
            </w:r>
          </w:p>
        </w:tc>
      </w:tr>
    </w:tbl>
    <w:p/>
    <w:p>
      <w:r>
        <w:rPr>
          <w:b/>
        </w:rPr>
        <w:t>Ejemplo: P-3.5 MTTD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Respuesta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&lt; 1 hora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1–8 horas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8–24 horas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1–7 días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&gt; 7 días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No se mide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F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1</w:t>
            </w:r>
          </w:p>
        </w:tc>
      </w:tr>
    </w:tbl>
    <w:p/>
    <w:p>
      <w:pPr>
        <w:pStyle w:val="Heading4"/>
        <w:keepNext/>
        <w:keepLines/>
      </w:pPr>
      <w:r>
        <w:t>Preguntas de Selección Múltiple (puntuación por cobertura)</w:t>
      </w:r>
    </w:p>
    <w:p>
      <w:r>
        <w:t>Puntuación = (Número de opciones seleccionadas / Número total de opciones posibles) × 4 + 1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 (CONTAR.SI(rango_respuestas, "Sí") / TOTAL_OPCIONES) * 4 + 1</w:t>
        <w:br/>
      </w:r>
    </w:p>
    <w:p>
      <w:pPr>
        <w:pStyle w:val="Heading4"/>
        <w:keepNext/>
        <w:keepLines/>
      </w:pPr>
      <w:r>
        <w:t>Preguntas de Tabla Matricial (escala 1–5)</w:t>
      </w:r>
    </w:p>
    <w:p>
      <w:r>
        <w:t>Puntuación = Media aritmética de las puntuaciones de cada fila de la tabla.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 PROMEDIO(fila1, fila2, fila3, ..., filaN)</w:t>
        <w:br/>
      </w:r>
    </w:p>
    <w:p>
      <w:pPr>
        <w:pStyle w:val="Heading2"/>
        <w:keepNext/>
        <w:keepLines/>
      </w:pPr>
      <w:r>
        <w:rPr>
          <w:color w:val="0066CC"/>
        </w:rPr>
        <w:t>Pestaña 4: IGM_CÁLCULO</w:t>
      </w:r>
    </w:p>
    <w:p>
      <w:pPr>
        <w:pStyle w:val="Heading3"/>
        <w:keepNext/>
        <w:keepLines/>
      </w:pPr>
      <w:r>
        <w:t>Estructura de Cálculo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CÁLCULO DEL IGM                                       │</w:t>
        <w:br/>
        <w:t>├────────────────────┬──────────┬─────────────┬──────────────┬────────────────┤</w:t>
        <w:br/>
        <w:t>│ Componente COSO    │ Peso IGM │ Preguntas   │ Prom. Comp.  │ Aportación IGM │</w:t>
        <w:br/>
        <w:t>├────────────────────┼──────────┼─────────────┼──────────────┼────────────────┤</w:t>
        <w:br/>
        <w:t>│ C-I Gobernanza     │   25%    │ P-1.1→P-1.8 │  =PROMEDIO() │ =Prom × 0,25   │</w:t>
        <w:br/>
        <w:t>│ C-II Estrategia    │   20%    │ P-2.1→P-2.6 │  =PROMEDIO() │ =Prom × 0,20   │</w:t>
        <w:br/>
        <w:t>│ C-III Desempeño    │   30%    │ P-3.1→P-3.11│  =PROMEDIO() │ =Prom × 0,30   │</w:t>
        <w:br/>
        <w:t>│ C-IV Revisión      │   10%    │ P-6.1→P-6.5 │  =PROMEDIO() │ =Prom × 0,10   │</w:t>
        <w:br/>
        <w:t>│ C-V Reporte        │   15%    │ P-7.1→P-7.4 │  =PROMEDIO() │ =Prom × 0,15   │</w:t>
        <w:br/>
        <w:t>├────────────────────┼──────────┼─────────────┼──────────────┼────────────────┤</w:t>
        <w:br/>
        <w:t>│ **IGM TOTAL**      │  100%    │             │              │ =SUMA(aportes) │</w:t>
        <w:br/>
        <w:t>└────────────────────┴──────────┴─────────────┴──────────────┴────────────────┘</w:t>
        <w:br/>
      </w:r>
    </w:p>
    <w:p>
      <w:pPr>
        <w:pStyle w:val="Heading3"/>
        <w:keepNext/>
        <w:keepLines/>
      </w:pPr>
      <w:r>
        <w:t>Fórmulas Excel Clave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// Puntuación media Componente I (Gobernanza)</w:t>
        <w:br/>
        <w:t>=PROMEDIO(DATOS_ENCUESTA!E2:E9)</w:t>
        <w:br/>
        <w:br/>
        <w:t>// IGM Total</w:t>
        <w:br/>
        <w:t>=DATOS_ENCUESTA!E_C1*0.25 + DATOS_ENCUESTA!E_C2*0.20 + DATOS_ENCUESTA!E_C3*0.30</w:t>
        <w:br/>
        <w:t xml:space="preserve"> + DATOS_ENCUESTA!E_C4*0.10 + DATOS_ENCUESTA!E_C5*0.15</w:t>
        <w:br/>
        <w:br/>
        <w:t>// Clasificación del IGM (fórmula anidada)</w:t>
        <w:br/>
        <w:t>=SI(IGM&lt;2,"CRÍTICO 🔴",SI(IGM&lt;3,"EMERGENTE 🟠",SI(IGM&lt;4,"ESTABLECIDO 🟡",</w:t>
        <w:br/>
        <w:t xml:space="preserve"> SI(IGM&lt;4.6,"AVANZADO 🟢","LÍDER 🟦"))))</w:t>
        <w:br/>
        <w:br/>
        <w:t>// Percentil del sector (si se dispone de datos de benchmark)</w:t>
        <w:br/>
        <w:t>=PERCENTIL(datos_sector, posición_relativa)</w:t>
        <w:br/>
      </w:r>
    </w:p>
    <w:p>
      <w:pPr>
        <w:pStyle w:val="Heading3"/>
        <w:keepNext/>
        <w:keepLines/>
      </w:pPr>
      <w:r>
        <w:t>Indicadores de Alerta Temprana (IAT) en esta pestaña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// Contar IATs en nivel crítico (puntuación ≤ 2)</w:t>
        <w:br/>
        <w:t>=CONTAR.SI.CONJUNTO(DATOS_ENCUESTA!F:F,"Sí", DATOS_ENCUESTA!E:E,"&lt;=2")</w:t>
        <w:br/>
        <w:br/>
        <w:t>// Semáforo por IAT (formato condicional)</w:t>
        <w:br/>
        <w:t>SI(puntuación&lt;=2, fondo=ROJO, SI(puntuación&lt;=3, fondo=NARANJA, fondo=VERDE))</w:t>
        <w:br/>
      </w:r>
    </w:p>
    <w:p>
      <w:pPr>
        <w:pStyle w:val="Heading2"/>
        <w:keepNext/>
        <w:keepLines/>
      </w:pPr>
      <w:r>
        <w:rPr>
          <w:color w:val="0066CC"/>
        </w:rPr>
        <w:t>Pestaña 5: ROI_ROSI</w:t>
      </w:r>
    </w:p>
    <w:p>
      <w:pPr>
        <w:pStyle w:val="Heading3"/>
        <w:keepNext/>
        <w:keepLines/>
      </w:pPr>
      <w:r>
        <w:t>Módulo 1 — Cuantificación del Riesgo (metodología ALE / FAIR simplificado)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CUANTIFICACIÓN DEL RIESGO CIBER (por escenario)                │</w:t>
        <w:br/>
        <w:t>├──────────────────────────────────┬─────────────────────────────────────────┤</w:t>
        <w:br/>
        <w:t>│ Campo                            │ Valor / Fórmula                         │</w:t>
        <w:br/>
        <w:t>├──────────────────────────────────┼─────────────────────────────────────────┤</w:t>
        <w:br/>
        <w:t>│ Nombre del escenario de riesgo   │ [p.ej.: "Ransomware en ERP principal"]  │</w:t>
        <w:br/>
        <w:t>│ SLE — Pérdida por evento único   │ [€ — introducir estimación]             │</w:t>
        <w:br/>
        <w:t>│   - Daños directos               │ [€ — restauración, forense, lucro cesante]│</w:t>
        <w:br/>
        <w:t>│   - Daños indirectos             │ [€ — reputación, multas, litigios]      │</w:t>
        <w:br/>
        <w:t>│ ARO — Frec. anual estimada       │ [nº eventos / año — puede ser decimal]  │</w:t>
        <w:br/>
        <w:t>│ **ALE = SLE × ARO**              │ =SLE_directos + SLE_indirectos × ARO    │</w:t>
        <w:br/>
        <w:t>├──────────────────────────────────┼─────────────────────────────────────────┤</w:t>
        <w:br/>
        <w:t>│ ALE SIN control (exposición base)│ =ALE calculado arriba                   │</w:t>
        <w:br/>
        <w:t>│ Reducción de riesgo del control  │ [% — p.ej.: MFA reduce ransomware 75%] │</w:t>
        <w:br/>
        <w:t>│ ALE CON control                  │ =ALE_sin × (1 - reducción_%)           │</w:t>
        <w:br/>
        <w:t>│ Riesgo reducido por el control   │ =ALE_sin - ALE_con                     │</w:t>
        <w:br/>
        <w:t>└──────────────────────────────────┴─────────────────────────────────────────┘</w:t>
        <w:br/>
      </w:r>
    </w:p>
    <w:p>
      <w:pPr>
        <w:pStyle w:val="Heading3"/>
        <w:keepNext/>
        <w:keepLines/>
      </w:pPr>
      <w:r>
        <w:t>Módulo 2 — Cálculo del ROSI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CÁLCULO DEL ROSI POR CONTROL                            │</w:t>
        <w:br/>
        <w:t>├──────────────────────────────────┬─────────────────────────────────────────┤</w:t>
        <w:br/>
        <w:t>│ Control de seguridad             │ [p.ej.: "Implementación MFA Universal"] │</w:t>
        <w:br/>
        <w:t>│ Coste anual del control          │ [€ — licencias + implantación/12 meses]│</w:t>
        <w:br/>
        <w:t>│ Riesgo anual reducido (Δ ALE)    │ =ALE_sin - ALE_con                     │</w:t>
        <w:br/>
        <w:t>│ **ROSI = (Δ ALE - Coste) / Coste**│ =(riesgo_reducido - coste) / coste    │</w:t>
        <w:br/>
        <w:t>│ ROSI expresado en %              │ =ROSI × 100                            │</w:t>
        <w:br/>
        <w:t>│ Interpretación                   │ SI(ROSI&gt;0, "Inversión justificada ✅", │</w:t>
        <w:br/>
        <w:t>│                                  │           "Revisar coste-beneficio ⚠️")│</w:t>
        <w:br/>
        <w:t>├──────────────────────────────────┼─────────────────────────────────────────┤</w:t>
        <w:br/>
        <w:t>│ **ROSI de cartera (todos controles)** │ =SUMA(ROSI_i × peso_i)          │</w:t>
        <w:br/>
        <w:t>└──────────────────────────────────┴─────────────────────────────────────────┘</w:t>
        <w:br/>
      </w:r>
    </w:p>
    <w:p>
      <w:pPr>
        <w:pStyle w:val="Heading3"/>
        <w:keepNext/>
        <w:keepLines/>
      </w:pPr>
      <w:r>
        <w:t>Módulo 3 — Comparativa Sector / Coste de Brecha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BENCHMARKING DE COSTE DE INCIDENTE                            │</w:t>
        <w:br/>
        <w:t>├──────────────────────────────────┬─────────────────────────────────────────┤</w:t>
        <w:br/>
        <w:t>│ Coste medio de brecha en el sector│ [€ — fuente: IBM Cost of Data Breach]  │</w:t>
        <w:br/>
        <w:t>│ Coste medio de brecha global 2025│ $4.88M USD (IBM 2025) — ajustar a €    │</w:t>
        <w:br/>
        <w:t>│ Coste estimado para su sector    │ [€ — introducir dato sectorial]         │</w:t>
        <w:br/>
        <w:t>│ Prima de seguro de ciberriesgo   │ [€/año — si aplica]                    │</w:t>
        <w:br/>
        <w:t>│ Variación de prima por mejora IGM│ [% — estimado con asegurador]          │</w:t>
        <w:br/>
        <w:t>│ Ahorro en prima por mejora IGM   │ =prima_actual × variación_%            │</w:t>
        <w:br/>
        <w:t>└──────────────────────────────────┴─────────────────────────────────────────┘</w:t>
        <w:br/>
      </w:r>
    </w:p>
    <w:p>
      <w:pPr>
        <w:pStyle w:val="Heading3"/>
        <w:keepNext/>
        <w:keepLines/>
      </w:pPr>
      <w:r>
        <w:t>Módulo 4 — Cuadro de Mando ROI Ejecutivo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CUADRO DE MANDO ROI EJECUTIVO                             │</w:t>
        <w:br/>
        <w:t>├──────────────────────────┬────────────────────────────────────────────────┤</w:t>
        <w:br/>
        <w:t>│ Inversión total ciber/año│ [€ — presupuesto total del programa]           │</w:t>
        <w:br/>
        <w:t>│ ALE total SIN programa   │ =SUMA(ALE_sin por todos los escenarios)        │</w:t>
        <w:br/>
        <w:t>│ ALE total CON programa   │ =SUMA(ALE_con por todos los escenarios)        │</w:t>
        <w:br/>
        <w:t>│ Riesgo total reducido    │ =ALE_sin_total - ALE_con_total                │</w:t>
        <w:br/>
        <w:t>│ **ROI del programa**     │ =(riesgo_reducido - inversión) / inversión × 100│</w:t>
        <w:br/>
        <w:t>│ Payback period           │ =inversión / (riesgo_reducido / 12) meses     │</w:t>
        <w:br/>
        <w:t>│ IGM actual               │ =referencia a pestaña IGM_CÁLCULO             │</w:t>
        <w:br/>
        <w:t>│ IGM objetivo (12 meses)  │ [introducir objetivo de mejora]               │</w:t>
        <w:br/>
        <w:t>└──────────────────────────┴────────────────────────────────────────────────┘</w:t>
        <w:br/>
      </w:r>
    </w:p>
    <w:p>
      <w:pPr>
        <w:pStyle w:val="Heading2"/>
        <w:keepNext/>
        <w:keepLines/>
      </w:pPr>
      <w:r>
        <w:rPr>
          <w:color w:val="0066CC"/>
        </w:rPr>
        <w:t>Pestaña 6: DIAGNÓSTICO</w:t>
      </w:r>
    </w:p>
    <w:p>
      <w:pPr>
        <w:pStyle w:val="Heading3"/>
        <w:keepNext/>
        <w:keepLines/>
      </w:pPr>
      <w:r>
        <w:t>Semáforo de IATs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// Para cada una de las 14 preguntas IAT:</w:t>
        <w:br/>
        <w:t>=SI(puntuación&lt;=2, "🔴 CRÍTICO — Acción inmediata requerida",</w:t>
        <w:br/>
        <w:t xml:space="preserve"> SI(puntuación=3, "🟡 MEJORABLE — Incluir en plan de mejora",</w:t>
        <w:br/>
        <w:t xml:space="preserve"> SI(puntuación&gt;=4, "🟢 ADECUADO — Mantener y optimizar", "—")))</w:t>
        <w:br/>
      </w:r>
    </w:p>
    <w:p>
      <w:pPr>
        <w:pStyle w:val="Heading3"/>
        <w:keepNext/>
        <w:keepLines/>
      </w:pPr>
      <w:r>
        <w:t>Tabla de Recomendaciones Priorizadas (generada automáticamente)</w:t>
      </w:r>
    </w:p>
    <w:p>
      <w:r>
        <w:t>Ordenadas por: (1) IATs críticos → (2) IATs mejorables → (3) No-IATs críticos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 actual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 objetivo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Acción recomendada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normativo clave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🔴 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P-X.X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1.0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[texto acción]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 XX; COSO P-XX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…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…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…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…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…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…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Pestaña 7: DASHBOARD</w:t>
      </w:r>
    </w:p>
    <w:p>
      <w:pPr>
        <w:pStyle w:val="Heading3"/>
        <w:keepNext/>
        <w:keepLines/>
      </w:pPr>
      <w:r>
        <w:t>Gráficos Incluidos (generados con datos de las otras pestañas)</w:t>
      </w:r>
    </w:p>
    <w:p>
      <w:pPr>
        <w:pStyle w:val="ListNumber"/>
        <w:keepLines w:val="1"/>
        <w:keepNext w:val="1"/>
        <w:widowControl w:val="1"/>
      </w:pPr>
      <w:r>
        <w:t>Gráfico de Radar (Spider Chart) del IGM — 5 ejes = 5 componentes COSO</w:t>
      </w:r>
    </w:p>
    <w:p>
      <w:pPr>
        <w:pStyle w:val="ListNumber"/>
        <w:keepLines w:val="1"/>
        <w:keepNext w:val="1"/>
        <w:widowControl w:val="1"/>
      </w:pPr>
      <w:r>
        <w:t>Barras comparativas — Puntuación por componente vs. benchmark sectorial (si disponible)</w:t>
      </w:r>
    </w:p>
    <w:p>
      <w:pPr>
        <w:pStyle w:val="ListNumber"/>
        <w:keepLines w:val="1"/>
        <w:keepNext w:val="1"/>
        <w:widowControl w:val="1"/>
      </w:pPr>
      <w:r>
        <w:t>Velocímetro/Gauge del IGM global (escala 1–5, colores rojo/naranja/amarillo/verde/azul)</w:t>
      </w:r>
    </w:p>
    <w:p>
      <w:pPr>
        <w:pStyle w:val="ListNumber"/>
        <w:keepLines w:val="1"/>
        <w:keepNext w:val="1"/>
        <w:widowControl w:val="1"/>
      </w:pPr>
      <w:r>
        <w:t>Semáforo de las 14 IATs — Grid 7×2 con indicador de color</w:t>
      </w:r>
    </w:p>
    <w:p>
      <w:pPr>
        <w:pStyle w:val="ListNumber"/>
        <w:keepLines w:val="1"/>
        <w:keepNext w:val="1"/>
        <w:widowControl w:val="1"/>
      </w:pPr>
      <w:r>
        <w:t>Barras horizontales de ROSI por control (ordenadas de mayor a menor)</w:t>
      </w:r>
    </w:p>
    <w:p>
      <w:pPr>
        <w:pStyle w:val="ListNumber"/>
        <w:keepLines w:val="1"/>
        <w:widowControl w:val="1"/>
      </w:pPr>
      <w:r>
        <w:t>Línea de evolución del IGM (para ediciones sucesivas de la encuesta)</w:t>
      </w:r>
    </w:p>
    <w:p>
      <w:pPr>
        <w:pStyle w:val="Heading3"/>
        <w:keepNext/>
        <w:keepLines/>
      </w:pPr>
      <w:r>
        <w:t>Instrucción de Implementación</w:t>
      </w:r>
    </w:p>
    <w:p>
      <w:r>
        <w:t>Todos los gráficos se generan automáticamente al introducir datos en DATOS_ENCUESTA. Para el Gráfico de Radar: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// Datos del radar: referencias a IGM_CÁLCULO!C4:C8 (puntuaciones por componente)</w:t>
        <w:br/>
        <w:t>// Eje máximo: 5</w:t>
        <w:br/>
        <w:t>// Eje mínimo: 0</w:t>
        <w:br/>
        <w:t>// Línea de referencia adicional (benchmark): datos externos si disponibles</w:t>
        <w:br/>
      </w:r>
    </w:p>
    <w:p>
      <w:pPr>
        <w:pStyle w:val="Heading2"/>
        <w:keepNext/>
        <w:keepLines/>
      </w:pPr>
      <w:r>
        <w:rPr>
          <w:color w:val="0066CC"/>
        </w:rPr>
        <w:t>Pestaña 8: INFORME</w:t>
      </w:r>
    </w:p>
    <w:p>
      <w:pPr>
        <w:pStyle w:val="Heading3"/>
        <w:keepNext/>
        <w:keepLines/>
      </w:pPr>
      <w:r>
        <w:t>Plantilla de Texto con Referencias Dinámicas</w:t>
      </w:r>
    </w:p>
    <w:p>
      <w:r>
        <w:t>El informe se genera automáticamente mediante fórmulas de concatenación de texto + datos: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// Título dinámico</w:t>
        <w:br/>
        <w:t>="INFORME DE DIAGNÓSTICO COSO-CIBER — "&amp;INICIO!B3&amp;" — "&amp;TEXTO(HOY(),"MMMM YYYY")</w:t>
        <w:br/>
        <w:br/>
        <w:t>// Párrafo resumen ejecutivo</w:t>
        <w:br/>
        <w:t>="La organización "&amp;INICIO!B3&amp;" ha obtenido un Índice Global de Madurez (IGM) de "&amp;</w:t>
        <w:br/>
        <w:t xml:space="preserve"> TEXTO(IGM_CÁLCULO!B15,"0.0")&amp;"/5.0, correspondiente al nivel "&amp;IGM_CÁLCULO!B16&amp;</w:t>
        <w:br/>
        <w:t xml:space="preserve"> ". El componente de mayor fortaleza es "&amp;IGM_CÁLCULO!B17&amp;</w:t>
        <w:br/>
        <w:t xml:space="preserve"> ", mientras que el de mayor oportunidad de mejora es "&amp;IGM_CÁLCULO!B18&amp;"."</w:t>
        <w:br/>
        <w:br/>
        <w:t>// Sección IATs</w:t>
        <w:br/>
        <w:t>="Se han identificado "&amp;DIAGNÓSTICO!B3&amp;" indicadores de alerta temprana en nivel crítico,</w:t>
        <w:br/>
        <w:t xml:space="preserve"> que requieren acción prioritaria en un horizonte de 0–90 días."</w:t>
        <w:br/>
      </w:r>
    </w:p>
    <w:p>
      <w:pPr>
        <w:pStyle w:val="Heading2"/>
        <w:keepNext/>
        <w:keepLines/>
      </w:pPr>
      <w:r>
        <w:rPr>
          <w:color w:val="0066CC"/>
        </w:rPr>
        <w:t>Consideraciones de Implementación</w:t>
      </w:r>
    </w:p>
    <w:p>
      <w:pPr>
        <w:pStyle w:val="Heading3"/>
        <w:keepNext/>
        <w:keepLines/>
      </w:pPr>
      <w:r>
        <w:t>Requisitos Técnicos</w:t>
      </w:r>
    </w:p>
    <w:p>
      <w:pPr>
        <w:pStyle w:val="ListBullet"/>
        <w:keepLines w:val="1"/>
        <w:keepNext w:val="1"/>
        <w:widowControl w:val="1"/>
      </w:pPr>
      <w:r>
        <w:t>Microsoft Excel 2016 o superior / Google Sheets (con funcionalidades equivalentes)</w:t>
      </w:r>
    </w:p>
    <w:p>
      <w:pPr>
        <w:pStyle w:val="ListBullet"/>
        <w:keepLines w:val="1"/>
        <w:widowControl w:val="1"/>
      </w:pPr>
      <w:r>
        <w:t>Para gráficos dinámicos avanzados: Excel 365 con SparkLines y Dynamic Arrays</w:t>
      </w:r>
    </w:p>
    <w:p>
      <w:pPr>
        <w:pStyle w:val="Heading3"/>
        <w:keepNext/>
        <w:keepLines/>
      </w:pPr>
      <w:r>
        <w:t>Protección de la Plantilla</w:t>
      </w:r>
    </w:p>
    <w:p>
      <w:pPr>
        <w:pStyle w:val="ListBullet"/>
        <w:keepLines w:val="1"/>
        <w:keepNext w:val="1"/>
        <w:widowControl w:val="1"/>
      </w:pPr>
      <w:r>
        <w:t>Hojas CONVERSIÓN y fórmulas clave: protegidas con contraseña (solo datos_encuesta editable)</w:t>
      </w:r>
    </w:p>
    <w:p>
      <w:pPr>
        <w:pStyle w:val="ListBullet"/>
        <w:keepLines w:val="1"/>
        <w:keepNext w:val="1"/>
        <w:widowControl w:val="1"/>
      </w:pPr>
      <w:r>
        <w:t>Validaciones de datos activadas en columna C (Respuesta_Código)</w:t>
      </w:r>
    </w:p>
    <w:p>
      <w:pPr>
        <w:pStyle w:val="ListBullet"/>
        <w:keepLines w:val="1"/>
        <w:widowControl w:val="1"/>
      </w:pPr>
      <w:r>
        <w:t>Mensajes de error configurados para respuestas fuera del rango válido</w:t>
      </w:r>
    </w:p>
    <w:p>
      <w:pPr>
        <w:pStyle w:val="Heading3"/>
        <w:keepNext/>
        <w:keepLines/>
      </w:pPr>
      <w:r>
        <w:t>Escalabilidad</w:t>
      </w:r>
    </w:p>
    <w:p>
      <w:pPr>
        <w:pStyle w:val="ListBullet"/>
        <w:keepLines w:val="1"/>
        <w:keepNext w:val="1"/>
        <w:widowControl w:val="1"/>
      </w:pPr>
      <w:r>
        <w:t>La plantilla permite introducir datos de múltiples organizaciones para análisis comparativo de sector</w:t>
      </w:r>
    </w:p>
    <w:p>
      <w:pPr>
        <w:pStyle w:val="ListBullet"/>
        <w:keepLines w:val="1"/>
        <w:widowControl w:val="1"/>
      </w:pPr>
      <w:r>
        <w:t>Tab adicional COMPARATIVA disponible para versión premium del kit</w:t>
      </w:r>
    </w:p>
    <w:p>
      <w:pPr>
        <w:pStyle w:val="Heading2"/>
        <w:keepNext/>
        <w:keepLines/>
      </w:pPr>
      <w:r>
        <w:rPr>
          <w:color w:val="0066CC"/>
        </w:rPr>
        <w:t>Fórmulas de Referencia Rápida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// ALE</w:t>
        <w:br/>
        <w:t>=SLE * ARO</w:t>
        <w:br/>
        <w:br/>
        <w:t>// ROSI</w:t>
        <w:br/>
        <w:t>=(ALE_sin_control - ALE_con_control - Coste_control) / Coste_control</w:t>
        <w:br/>
        <w:br/>
        <w:t>// IGM</w:t>
        <w:br/>
        <w:t>=(PROM_C1*0.25) + (PROM_C2*0.20) + (PROM_C3*0.30) + (PROM_C4*0.10) + (PROM_C5*0.15)</w:t>
        <w:br/>
        <w:br/>
        <w:t>// Puntuación selección múltiple</w:t>
        <w:br/>
        <w:t>=(CONTARSÍ_MARCADAS / TOTAL_OPCIONES) * 4 + 1</w:t>
        <w:br/>
        <w:br/>
        <w:t>// IATs en estado crítico</w:t>
        <w:br/>
        <w:t>=CONTAR.SI.CONJUNTO(columna_IAT,"Sí",columna_puntuacion,"&lt;=2")</w:t>
        <w:br/>
      </w:r>
    </w:p>
    <w:p>
      <w:r>
        <w:rPr>
          <w:i/>
        </w:rPr>
        <w:t>Plantilla Excel IGM y ROI — Kit COSO-Ciber v2025.1 | Abril 2026</w:t>
      </w:r>
      <w:r/>
      <w:r>
        <w:br/>
      </w:r>
      <w:r>
        <w:rPr>
          <w:i/>
        </w:rPr>
        <w:t>Metodología ALE/SLE/ARO: NIST SP 800-30 Rev. 1 · Metodología FAIR: ANSI/OpenFAIR 2023 · IGM: COSO ERM 2017 + CMMI v2.0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