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— Kit de Encuesta COSO-Ciber v2025.1</w:t>
      </w:r>
    </w:p>
    <w:p>
      <w:pPr>
        <w:pStyle w:val="Heading2"/>
        <w:keepNext/>
        <w:keepLines/>
      </w:pPr>
      <w:r>
        <w:rPr>
          <w:color w:val="0066CC"/>
        </w:rPr>
        <w:t>Diagnóstico de Indicadores y Métricas de Ciberseguridad en el Marco COSO</w:t>
      </w:r>
    </w:p>
    <w:p>
      <w:pPr>
        <w:pStyle w:val="Heading3"/>
        <w:keepNext/>
        <w:keepLines/>
      </w:pPr>
      <w:r>
        <w:t>Aplicación a España · Contexto ENS / NIS2 / DORA · Perspectiva Comparada Internacional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╔══════════════════════════════════════════════════════════════════════════╗</w:t>
        <w:br/>
        <w:t>║         KIT DE DIAGNÓSTICO COSO-CIBER · v2025.1 · ABRIL 2026           ║</w:t>
        <w:br/>
        <w:t>║       Encuesta integral de métricas de ciberseguridad — Marco COSO      ║</w:t>
        <w:br/>
        <w:t>╚══════════════════════════════════════════════════════════════════════════╝</w:t>
        <w:br/>
      </w:r>
    </w:p>
    <w:p>
      <w:pPr>
        <w:pStyle w:val="Heading2"/>
        <w:keepNext/>
        <w:keepLines/>
      </w:pPr>
      <w:r>
        <w:rPr>
          <w:color w:val="0066CC"/>
        </w:rPr>
        <w:t>¿Qué es este Kit?</w:t>
      </w:r>
    </w:p>
    <w:p>
      <w:r>
        <w:t xml:space="preserve">El </w:t>
      </w:r>
      <w:r>
        <w:rPr>
          <w:b/>
        </w:rPr>
        <w:t>Kit COSO-Ciber</w:t>
      </w:r>
      <w:r>
        <w:t xml:space="preserve"> es un instrumento de diagnóstico organizacional diseñado para evaluar, de forma sistemática y reproducible, el nivel de adopción de indicadores y métricas de ciberseguridad alineados con el marco </w:t>
      </w:r>
      <w:r>
        <w:rPr>
          <w:b/>
        </w:rPr>
        <w:t>COSO</w:t>
      </w:r>
      <w:r>
        <w:t xml:space="preserve"> (Committee of Sponsoring Organizations of the Treadway Commission), en sus tres dimensiones complementarias:</w:t>
      </w:r>
    </w:p>
    <w:p>
      <w:pPr>
        <w:pStyle w:val="ListBullet"/>
        <w:keepLines w:val="1"/>
        <w:keepNext w:val="1"/>
        <w:widowControl w:val="1"/>
      </w:pPr>
      <w:r>
        <w:t>COSO ERM 2017 (Enterprise Risk Management — 20 Principios)</w:t>
      </w:r>
    </w:p>
    <w:p>
      <w:pPr>
        <w:pStyle w:val="ListBullet"/>
        <w:keepLines w:val="1"/>
        <w:keepNext w:val="1"/>
        <w:widowControl w:val="1"/>
      </w:pPr>
      <w:r>
        <w:t>COSO IC 2013 (Internal Control — Integrated Framework)</w:t>
      </w:r>
    </w:p>
    <w:p>
      <w:pPr>
        <w:pStyle w:val="ListBullet"/>
        <w:keepLines w:val="1"/>
        <w:widowControl w:val="1"/>
      </w:pPr>
      <w:r>
        <w:t>COSO CGF 2026 (Corporate Governance Framework — Principio 8: Supervisión del ciberriesgo)</w:t>
      </w:r>
    </w:p>
    <w:p>
      <w:r>
        <w:t>El kit ha sido desarrollado en el contexto del nuevo paisaje regulatorio europeo (NIS2 en vigor, DORA desde enero 2025, ENS RD 311/2022) y de las tendencias de ciberriesgo emergentes 2025-2026, incluyendo la automatización adversarial por IA y la transición hacia la criptografía post-cuántica.</w:t>
      </w:r>
    </w:p>
    <w:p>
      <w:pPr>
        <w:pStyle w:val="Heading2"/>
        <w:keepNext/>
        <w:keepLines/>
      </w:pPr>
      <w:r>
        <w:rPr>
          <w:color w:val="0066CC"/>
        </w:rPr>
        <w:t>Inventario del Kit (7 documentos)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Audiencia Principal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a_encuesta_integral_coso.md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Modelo de encuesta completo (59 preguntas, 10 bloques)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Encuestados / Plataforma de encuesta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b_guia_metodologica.md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Diseño muestral, escalas, IGM, análisis estadístico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Investigadores / Metodólogos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c_narrativa_explicativa.md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Contexto, fundamentos y lógica del instrumento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Stakeholders / Comités directivos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d_mapeo_normativo.md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Trazabilidad pregunta → marco regulatorio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Compliance / Auditores / Reguladores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e_plantilla_excel_igm_roi.md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Especificación de la plantilla Excel IGM + ROSI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CISOs / CFOs / Analistas GRC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f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f_plantilla_ppt_reporte_ejecutivo.md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Estructura del reporte ejecutivo para el Consejo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CISOs / Consultores / Asesores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g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g_readme_kit_encuesta.md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Este documento — guía de uso del kit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Todos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Instalación y Puesta en Marcha</w:t>
      </w:r>
    </w:p>
    <w:p>
      <w:pPr>
        <w:pStyle w:val="Heading3"/>
        <w:keepNext/>
        <w:keepLines/>
      </w:pPr>
      <w:r>
        <w:t>Prerrequisitos</w:t>
      </w:r>
    </w:p>
    <w:p>
      <w:r>
        <w:rPr>
          <w:b/>
        </w:rPr>
        <w:t>Para distribuir la encuesta:</w:t>
      </w:r>
      <w:r/>
      <w:r>
        <w:br/>
        <w:t xml:space="preserve">- </w:t>
      </w:r>
      <w:r>
        <w:t>LimeSurvey</w:t>
      </w:r>
      <w:r>
        <w:t xml:space="preserve"> (recomendado, autoalojado) o Google Forms</w:t>
      </w:r>
      <w:r/>
      <w:r>
        <w:br/>
        <w:t>- Acceso a los canales de distribución relevantes (ver Guía Metodológica, §3.4)</w:t>
      </w:r>
      <w:r/>
      <w:r>
        <w:br/>
        <w:t>- Aprobación de protección de datos por parte del DPO</w:t>
      </w:r>
    </w:p>
    <w:p>
      <w:r>
        <w:rPr>
          <w:b/>
        </w:rPr>
        <w:t>Para el análisis:</w:t>
      </w:r>
      <w:r/>
      <w:r>
        <w:br/>
        <w:t>- Microsoft Excel 365 o Google Sheets (para la plantilla IGM/ROI)</w:t>
      </w:r>
      <w:r/>
      <w:r>
        <w:br/>
        <w:t>- SPSS / R / Python (para análisis estadístico avanzado, opcional)</w:t>
      </w:r>
      <w:r/>
      <w:r>
        <w:br/>
        <w:t>- Software de análisis cualitativo: NVivo o Atlas.ti (para Bloque X, opcional)</w:t>
      </w:r>
    </w:p>
    <w:p>
      <w:r>
        <w:rPr>
          <w:b/>
        </w:rPr>
        <w:t>Para el reporte ejecutivo:</w:t>
      </w:r>
      <w:r/>
      <w:r>
        <w:br/>
        <w:t>- PowerPoint / Keynote / Google Slides (para implementar la plantilla del Documento f)</w:t>
      </w:r>
    </w:p>
    <w:p>
      <w:pPr>
        <w:pStyle w:val="Heading3"/>
        <w:keepNext/>
        <w:keepLines/>
      </w:pPr>
      <w:r>
        <w:t>Pasos de Implementación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PASO 1: PREPARACIÓN (Semanas 1–4)</w:t>
        <w:br/>
        <w:t>├── Leer el Documento (c) para comprender el marco conceptual</w:t>
        <w:br/>
        <w:t>├── Revisar el Documento (b) para el diseño muestral</w:t>
        <w:br/>
        <w:t>├── Validar el instrumento con panel de expertos (mínimo 7)</w:t>
        <w:br/>
        <w:t>└── Configurar la plataforma de distribución</w:t>
        <w:br/>
        <w:br/>
        <w:t>PASO 2: PILOTO (Semanas 5–7)</w:t>
        <w:br/>
        <w:t>├── Distribución a 30 organizaciones piloto</w:t>
        <w:br/>
        <w:t>├── Recopilar retroalimentación sobre comprensión y tiempo de respuesta</w:t>
        <w:br/>
        <w:t>└── Ajustar la encuesta según los hallazgos del piloto</w:t>
        <w:br/>
        <w:br/>
        <w:t>PASO 3: DISTRIBUCIÓN MASIVA (Semanas 8–15)</w:t>
        <w:br/>
        <w:t>├── Lanzamiento a la muestra objetivo (n ≥ 384)</w:t>
        <w:br/>
        <w:t>├── Seguimiento semanal de la tasa de respuesta</w:t>
        <w:br/>
        <w:t>└── Dos recordatorios: semana 3 y semana 5 de la distribución</w:t>
        <w:br/>
        <w:br/>
        <w:t>PASO 4: ANÁLISIS (Semanas 16–18)</w:t>
        <w:br/>
        <w:t>├── Depuración y limpieza de datos</w:t>
        <w:br/>
        <w:t>├── Importar datos a la Plantilla Excel (Documento e)</w:t>
        <w:br/>
        <w:t>├── Calcular el IGM para cada organización</w:t>
        <w:br/>
        <w:t>└── Ejecutar análisis estadísticos (ver Documento b, §6)</w:t>
        <w:br/>
        <w:br/>
        <w:t>PASO 5: REPORTE (Semanas 19–21)</w:t>
        <w:br/>
        <w:t>├── Generar informe de resultados con la plantilla PowerPoint (Documento f)</w:t>
        <w:br/>
        <w:t>├── Preparar benchmarking sectorial</w:t>
        <w:br/>
        <w:t>└── Distribución de resultados a participantes (reciprocidad)</w:t>
        <w:br/>
      </w:r>
    </w:p>
    <w:p>
      <w:pPr>
        <w:pStyle w:val="Heading2"/>
        <w:keepNext/>
        <w:keepLines/>
      </w:pPr>
      <w:r>
        <w:rPr>
          <w:color w:val="0066CC"/>
        </w:rPr>
        <w:t>Estructura de la Encuesta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ENCUESTA COSO-CIBER (59 preguntas)</w:t>
        <w:br/>
        <w:t>│</w:t>
        <w:br/>
        <w:t>├── BLOQUE 0: Perfil Organizacional (7 preguntas) ─── Variables de control</w:t>
        <w:br/>
        <w:t>│</w:t>
        <w:br/>
        <w:t>├── BLOQUE I: Gobernanza y Cultura (8 preguntas) ──── COSO ERM Componente I</w:t>
        <w:br/>
        <w:t>│   └── 5 preguntas IAT ⚡</w:t>
        <w:br/>
        <w:t>│</w:t>
        <w:br/>
        <w:t>├── BLOQUE II: Estrategia y Apetito de Riesgo (6) ─── COSO ERM Componente II</w:t>
        <w:br/>
        <w:t>│   └── 2 preguntas IAT ⚡</w:t>
        <w:br/>
        <w:t>│</w:t>
        <w:br/>
        <w:t>├── BLOQUE III: Desempeño — Métricas Operativas (11) ─ COSO ERM Componente III</w:t>
        <w:br/>
        <w:t>│   └── 7 preguntas IAT ⚡ (mayor densidad de IATs)</w:t>
        <w:br/>
        <w:t>│</w:t>
        <w:br/>
        <w:t>├── BLOQUE IV: Riesgos Emergentes 2025-26 (4) ──────── COSO ERM P-6 + P-15</w:t>
        <w:br/>
        <w:t>│   └── 2 preguntas IAT ⚡</w:t>
        <w:br/>
        <w:t>│</w:t>
        <w:br/>
        <w:t>├── BLOQUE V: Marco Regulatorio (4) ─────────────────── IC Control Cumplimiento</w:t>
        <w:br/>
        <w:t>│</w:t>
        <w:br/>
        <w:t>├── BLOQUE VI: Revisión, Mejora y Monitoreo (5) ────── COSO ERM Componente IV</w:t>
        <w:br/>
        <w:t>│</w:t>
        <w:br/>
        <w:t>├── BLOQUE VII: Información y Reporte al Consejo (4) ── COSO ERM Componente V</w:t>
        <w:br/>
        <w:t>│   └── 2 preguntas IAT ⚡ (incluyendo calidad del reporte)</w:t>
        <w:br/>
        <w:t>│</w:t>
        <w:br/>
        <w:t>├── BLOQUE VIII: ROI y Madurez Estratégica (3) ──────── ERM + FAIR</w:t>
        <w:br/>
        <w:t>│   └── 1 pregunta IAT ⚡</w:t>
        <w:br/>
        <w:t>│</w:t>
        <w:br/>
        <w:t>├── BLOQUE IX: Perspectiva Comparada Internacional (3) ─ Benchmarking</w:t>
        <w:br/>
        <w:t>│</w:t>
        <w:br/>
        <w:t>└── BLOQUE X: Reflexión Final y Aportaciones Abiertas (4) ─ Cualitativo</w:t>
        <w:br/>
      </w:r>
    </w:p>
    <w:p>
      <w:pPr>
        <w:pStyle w:val="Heading2"/>
        <w:keepNext/>
        <w:keepLines/>
      </w:pPr>
      <w:r>
        <w:rPr>
          <w:color w:val="0066CC"/>
        </w:rPr>
        <w:t>El Índice Global de Madurez (IGM)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 = (C-I_GOB × 0,25) + (C-II_EST × 0,20) + (C-III_DES × 0,30)</w:t>
        <w:br/>
        <w:t xml:space="preserve">    + (C-IV_REV × 0,10) + (C-V_INF × 0,15)</w:t>
        <w:br/>
        <w:br/>
        <w:t>Escala: 1.0 (mínimo) → 5.0 (máximo)</w:t>
        <w:br/>
        <w:br/>
        <w:t>🔴 1.0–1.9 CRÍTICO      → Intervención inmediata requerida</w:t>
        <w:br/>
        <w:t>🟠 2.0–2.9 EMERGENTE    → Plan de mejora estructurado a 12 meses</w:t>
        <w:br/>
        <w:t>🟡 3.0–3.9 ESTABLECIDO  → Optimización de métricas e integración ERM</w:t>
        <w:br/>
        <w:t>🟢 4.0–4.5 AVANZADO     → Cuantificación financiera del riesgo (FAIR/CRQ)</w:t>
        <w:br/>
        <w:t>🟦 4.6–5.0 LÍDER        → Referente sectorial; contribución a marcos del sector</w:t>
        <w:br/>
      </w:r>
    </w:p>
    <w:p>
      <w:pPr>
        <w:pStyle w:val="Heading2"/>
        <w:keepNext/>
        <w:keepLines/>
      </w:pPr>
      <w:r>
        <w:rPr>
          <w:color w:val="0066CC"/>
        </w:rPr>
        <w:t>Indicadores de Alerta Temprana (14 IATs ⚡)</w:t>
      </w:r>
    </w:p>
    <w:p>
      <w:r>
        <w:t>Los IATs son preguntas donde una puntuación ≤ 2 requiere atención prioritaria: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IAT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Área COSO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⚡ P-1.1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Supervisión del ciberriesgo por el Consejo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Gobernanza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⚡ P-1.2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Competencia ciber del Consejo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Gobernanza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⚡ P-1.4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Línea de reporte del 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Gobernanza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⚡ P-1.6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Cultura organizacional de ciberseguridad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Gobernanza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⚡ P-2.1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Integración del ciberriesgo en la estrategia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Estrategia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⚡ P-2.3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Expresión del apetito de ciberriesgo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Estrategia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⚡ P-3.1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Registro y gestión del inventario de riesgos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Desempeño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⚡ P-3.2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Madurez en gestión de vulnerabilidades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Desempeño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⚡ P-3.3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Time-to-Patch (TTP) para vulnerabilidades críticas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Desempeño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⚡ P-3.4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Time-to-Exploit (TtE) como KRI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Desempeño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⚡ P-3.5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MTTD y MTTR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Desempeño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⚡ P-3.6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Gestión de IAM/PAM y cobertura MFA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Desempeño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⚡ P-3.9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Resiliencia y continuidad de negocio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Desempeño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⚡ P-7.1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Calidad del reporte de ciberriesgo al Consejo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Reporte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Marco Normativo de Referencia</w:t>
      </w:r>
    </w:p>
    <w:p>
      <w:r>
        <w:t>El kit cubre los principales marcos regulatorios y estándares vigentes: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Aplicabilidad en España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Entidades esenciales e importantes; ~30.000 org. en España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Dir. UE 2022/2555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Sector financiero (banca, seguros, fintech, IICI)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Reg. UE 2022/2554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Sector público y proveedores de AAPP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RD 311/2022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COSO ERM 2017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Universal; referente global de ERM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COSO.org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COSO CGF 2026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Universal; gobierno corporativo ciber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COSO.org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ISO 27001:2022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Universal; certificación de SGSI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ISO/IEC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Universal; marco de funciones de ciberseguridad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NIST.gov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NIST IR 8286r1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Universal; integración ERM-ciber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NIST.gov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FAIR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Universal; cuantificación financiera del riesgo ciber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OpenFAIR.org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EU AI Act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Sistemas IA de alto riesgo; desde agosto 2026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Reg. UE 2024/1689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Preguntas Frecuentes</w:t>
      </w:r>
    </w:p>
    <w:p>
      <w:r>
        <w:rPr>
          <w:b/>
        </w:rPr>
        <w:t>P: ¿Cuánto tiempo lleva responder la encuesta?</w:t>
      </w:r>
      <w:r/>
      <w:r>
        <w:br/>
        <w:t>R: Aproximadamente 45–60 minutos para un encuestado con acceso a datos de la organización.</w:t>
      </w:r>
    </w:p>
    <w:p>
      <w:r>
        <w:rPr>
          <w:b/>
        </w:rPr>
        <w:t>P: ¿Un solo encuestado puede responder toda la encuesta?</w:t>
      </w:r>
      <w:r/>
      <w:r>
        <w:br/>
        <w:t>R: Para obtener la imagen más precisa, se recomienda que respondan:</w:t>
      </w:r>
      <w:r/>
      <w:r>
        <w:br/>
        <w:t>- Bloque 0, I, II, VII, VIII: CISO / CRO / CEO</w:t>
      </w:r>
      <w:r/>
      <w:r>
        <w:br/>
        <w:t>- Bloque III, IV, VI: CISO / Equipo técnico de ciberseguridad</w:t>
      </w:r>
      <w:r/>
      <w:r>
        <w:br/>
        <w:t>- Bloque V: Responsable de Compliance / Auditoría Interna</w:t>
      </w:r>
      <w:r/>
      <w:r>
        <w:br/>
        <w:t>- Bloque X: Cualquier perfil</w:t>
      </w:r>
    </w:p>
    <w:p>
      <w:r>
        <w:rPr>
          <w:b/>
        </w:rPr>
        <w:t>P: ¿Qué ocurre si no tenemos todos los datos que se piden?</w:t>
      </w:r>
      <w:r/>
      <w:r>
        <w:br/>
        <w:t>R: En ese caso, las instrucciones de la encuesta indican explícitamente que se proporcione la mejor estimación disponible. La ausencia de datos precisos es en sí misma un hallazgo diagnóstico relevante.</w:t>
      </w:r>
    </w:p>
    <w:p>
      <w:r>
        <w:rPr>
          <w:b/>
        </w:rPr>
        <w:t>P: ¿Se pueden comparar los resultados con otras organizaciones del sector?</w:t>
      </w:r>
      <w:r/>
      <w:r>
        <w:br/>
        <w:t>R: Sí, esa es una de las funcionalidades clave del kit. El Documento (e) incluye un módulo de comparativa sectorial y la Guía Metodológica (Documento b) describe cómo construir benchmarks con grupos de organizaciones participantes.</w:t>
      </w:r>
    </w:p>
    <w:p>
      <w:r>
        <w:rPr>
          <w:b/>
        </w:rPr>
        <w:t>P: ¿El kit cumple con el RGPD?</w:t>
      </w:r>
      <w:r/>
      <w:r>
        <w:br/>
        <w:t>R: Sí, siempre que se implementen las instrucciones del Documento (b), §8 (Consideraciones Éticas). Se requiere consentimiento informado, política de privacidad y base legal para el tratamiento de datos.</w:t>
      </w:r>
    </w:p>
    <w:p>
      <w:r>
        <w:rPr>
          <w:b/>
        </w:rPr>
        <w:t>P: ¿Con qué frecuencia se recomienda repetir el diagnóstico?</w:t>
      </w:r>
      <w:r/>
      <w:r>
        <w:br/>
        <w:t>R: Anualmente, o ante cambios relevantes en el entorno de amenazas, cambios regulatorios significativos o tras incidentes de ciberseguridad materiales.</w:t>
      </w:r>
    </w:p>
    <w:p>
      <w:pPr>
        <w:pStyle w:val="Heading2"/>
        <w:keepNext/>
        <w:keepLines/>
      </w:pPr>
      <w:r>
        <w:rPr>
          <w:color w:val="0066CC"/>
        </w:rPr>
        <w:t>Contribuciones y Actualizaciones</w:t>
      </w:r>
    </w:p>
    <w:p>
      <w:r>
        <w:t>Este kit es un instrumento vivo. Las actualizaciones están previstas para:</w:t>
      </w:r>
    </w:p>
    <w:p>
      <w:pPr>
        <w:pStyle w:val="ListBullet"/>
        <w:keepLines w:val="1"/>
        <w:keepNext w:val="1"/>
        <w:widowControl w:val="1"/>
      </w:pPr>
      <w:r>
        <w:t>v2025.2 (octubre 2025): Incorporación de métricas específicas de AI Security (post-EU AI Act)</w:t>
      </w:r>
    </w:p>
    <w:p>
      <w:pPr>
        <w:pStyle w:val="ListBullet"/>
        <w:keepLines w:val="1"/>
        <w:keepNext w:val="1"/>
        <w:widowControl w:val="1"/>
      </w:pPr>
      <w:r>
        <w:t>v2026.1 (abril 2026): Actualización de benchmarks con datos ENISA NIS Investments 2025</w:t>
      </w:r>
    </w:p>
    <w:p>
      <w:pPr>
        <w:pStyle w:val="ListBullet"/>
        <w:keepLines w:val="1"/>
        <w:widowControl w:val="1"/>
      </w:pPr>
      <w:r>
        <w:t>v2026.2 (octubre 2026): Incorporación de indicadores PQC conforme al plan de migración CCN</w:t>
      </w:r>
    </w:p>
    <w:p>
      <w:r>
        <w:t>Para notificar errores, proponer mejoras o compartir resultados de aplicación del kit:</w:t>
      </w:r>
      <w:r/>
      <w:r>
        <w:br/>
        <w:t xml:space="preserve">- </w:t>
      </w:r>
      <w:r>
        <w:rPr>
          <w:b/>
        </w:rPr>
        <w:t>Repositorio:</w:t>
      </w:r>
      <w:r>
        <w:t xml:space="preserve"> [URL del repositorio]</w:t>
      </w:r>
      <w:r/>
      <w:r>
        <w:br/>
        <w:t xml:space="preserve">- </w:t>
      </w:r>
      <w:r>
        <w:rPr>
          <w:b/>
        </w:rPr>
        <w:t>Contacto:</w:t>
      </w:r>
      <w:r>
        <w:t xml:space="preserve"> [email del equipo de investigación]</w:t>
      </w:r>
    </w:p>
    <w:p>
      <w:pPr>
        <w:pStyle w:val="Heading2"/>
        <w:keepNext/>
        <w:keepLines/>
      </w:pPr>
      <w:r>
        <w:rPr>
          <w:color w:val="0066CC"/>
        </w:rPr>
        <w:t>Licencia de Uso</w:t>
      </w:r>
    </w:p>
    <w:p>
      <w:r>
        <w:t xml:space="preserve">Este kit se distribuye bajo licencia </w:t>
      </w:r>
      <w:r>
        <w:rPr>
          <w:b/>
        </w:rPr>
        <w:t>Creative Commons Attribution-NonCommercial-ShareAlike 4.0 International (CC BY-NC-SA 4.0)</w:t>
      </w:r>
      <w:r>
        <w:t>.</w:t>
      </w:r>
    </w:p>
    <w:p>
      <w:r>
        <w:t>Puede ser utilizado, adaptado y redistribuido para fines no comerciales, siempre que se cite la fuente original y las obras derivadas se distribuyan bajo la misma licencia.</w:t>
      </w:r>
    </w:p>
    <w:p>
      <w:r>
        <w:rPr>
          <w:b/>
        </w:rPr>
        <w:t>Citación recomendada:</w:t>
      </w:r>
    </w:p>
    <w:p>
      <w:r>
        <w:t xml:space="preserve">[Autores/Institución] (2026). </w:t>
      </w:r>
      <w:r>
        <w:rPr>
          <w:i/>
        </w:rPr>
        <w:t>Kit COSO-Ciber v2025.1: Encuesta Integral sobre Indicadores y Métricas de Ciberseguridad en el Marco COSO.</w:t>
      </w:r>
      <w:r>
        <w:t xml:space="preserve"> [Institución / DOI si disponible].</w:t>
      </w:r>
    </w:p>
    <w:p>
      <w:pPr>
        <w:pStyle w:val="Heading2"/>
        <w:keepNext/>
        <w:keepLines/>
      </w:pPr>
      <w:r>
        <w:rPr>
          <w:color w:val="0066CC"/>
        </w:rPr>
        <w:t>Créditos y Agradecimientos</w:t>
      </w:r>
    </w:p>
    <w:p>
      <w:r>
        <w:t>Este kit fue desarrollado con base en las siguientes fuentes primarias:</w:t>
      </w:r>
    </w:p>
    <w:p>
      <w:pPr>
        <w:pStyle w:val="ListBullet"/>
        <w:keepLines w:val="1"/>
        <w:keepNext w:val="1"/>
        <w:widowControl w:val="1"/>
      </w:pPr>
      <w:r>
        <w:t>COSO (2017). Enterprise Risk Management — Integrating with Strategy and Performance.</w:t>
      </w:r>
    </w:p>
    <w:p>
      <w:pPr>
        <w:pStyle w:val="ListBullet"/>
        <w:keepLines w:val="1"/>
        <w:keepNext w:val="1"/>
        <w:widowControl w:val="1"/>
      </w:pPr>
      <w:r>
        <w:t>COSO / Deloitte (2020). Managing Cyber Risk in a Digital Age.</w:t>
      </w:r>
    </w:p>
    <w:p>
      <w:pPr>
        <w:pStyle w:val="ListBullet"/>
        <w:keepLines w:val="1"/>
        <w:keepNext w:val="1"/>
        <w:widowControl w:val="1"/>
      </w:pPr>
      <w:r>
        <w:t>COSO / PwC (2026). Corporate Governance: Guiding Principles for Board Oversight.</w:t>
      </w:r>
    </w:p>
    <w:p>
      <w:pPr>
        <w:pStyle w:val="ListBullet"/>
        <w:keepLines w:val="1"/>
        <w:keepNext w:val="1"/>
        <w:widowControl w:val="1"/>
      </w:pPr>
      <w:r>
        <w:t>ENISA (2025). NIS Investments 2025.</w:t>
      </w:r>
    </w:p>
    <w:p>
      <w:pPr>
        <w:pStyle w:val="ListBullet"/>
        <w:keepLines w:val="1"/>
        <w:keepNext w:val="1"/>
        <w:widowControl w:val="1"/>
      </w:pPr>
      <w:r>
        <w:t>INCIBE (2026). Balance de Ciberseguridad 2025.</w:t>
      </w:r>
    </w:p>
    <w:p>
      <w:pPr>
        <w:pStyle w:val="ListBullet"/>
        <w:keepLines w:val="1"/>
        <w:keepNext w:val="1"/>
        <w:widowControl w:val="1"/>
      </w:pPr>
      <w:r>
        <w:t>CCN-CERT (2025). Ciberamenazas y Tendencias — Edición 2025.</w:t>
      </w:r>
    </w:p>
    <w:p>
      <w:pPr>
        <w:pStyle w:val="ListBullet"/>
        <w:keepLines w:val="1"/>
        <w:keepNext w:val="1"/>
        <w:widowControl w:val="1"/>
      </w:pPr>
      <w:r>
        <w:t>NIST (2025). IR 8286r1 — Integrating Cybersecurity and Enterprise Risk Management.</w:t>
      </w:r>
    </w:p>
    <w:p>
      <w:pPr>
        <w:pStyle w:val="ListBullet"/>
        <w:keepLines w:val="1"/>
        <w:keepNext w:val="1"/>
        <w:widowControl w:val="1"/>
      </w:pPr>
      <w:r>
        <w:t>FAIR Institute (2025). State of Cyber Risk Management Report.</w:t>
      </w:r>
    </w:p>
    <w:p>
      <w:pPr>
        <w:pStyle w:val="ListBullet"/>
        <w:keepLines w:val="1"/>
        <w:keepNext w:val="1"/>
        <w:widowControl w:val="1"/>
      </w:pPr>
      <w:r>
        <w:t>IBM Security (2025). Cost of a Data Breach Report 2025.</w:t>
      </w:r>
    </w:p>
    <w:p>
      <w:pPr>
        <w:pStyle w:val="ListBullet"/>
        <w:keepLines w:val="1"/>
        <w:keepNext w:val="1"/>
        <w:widowControl w:val="1"/>
      </w:pPr>
      <w:r>
        <w:t>ISO/IEC 27004:2016. Information security management — Monitoring, measurement, analysis and evaluation.</w:t>
      </w:r>
    </w:p>
    <w:p>
      <w:pPr>
        <w:pStyle w:val="ListBullet"/>
        <w:keepLines w:val="1"/>
        <w:keepNext w:val="1"/>
        <w:widowControl w:val="1"/>
      </w:pPr>
      <w:r>
        <w:t>Deloitte (2025). Global Future of Cyber Survey.</w:t>
      </w:r>
    </w:p>
    <w:p>
      <w:pPr>
        <w:pStyle w:val="ListBullet"/>
        <w:keepLines w:val="1"/>
        <w:widowControl w:val="1"/>
      </w:pPr>
      <w:r>
        <w:t>ISMS Forum España (2025). Informe anual de ciberseguridad en España.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╔══════════════════════════════════════════════════════════════════════════╗</w:t>
        <w:br/>
        <w:t>║  Versión: 2025.1 | Fecha: Abril 2026 | Clasificación: Uso libre (CC)  ║</w:t>
        <w:br/>
        <w:t>║  "Medir para mejorar. Reportar para gobernar. Anticipar para sobrevivir."║</w:t>
        <w:br/>
        <w:t>╚══════════════════════════════════════════════════════════════════════════╝</w:t>
        <w:br/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