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(b) Guía metodológica de la Encuesta SOC 2 – ENS – NIS2 (España 2026)</w:t>
      </w:r>
    </w:p>
    <w:p>
      <w:pPr>
        <w:pStyle w:val="Heading2"/>
        <w:keepNext/>
        <w:keepLines/>
      </w:pPr>
      <w:r>
        <w:rPr>
          <w:color w:val="0066CC"/>
        </w:rPr>
        <w:t>1. Propósito y alcance de la encuesta</w:t>
      </w:r>
    </w:p>
    <w:p>
      <w:r>
        <w:t>Esta encuesta tiene como propósito medir el grado de alineamiento de las organizaciones con las buenas prácticas recogidas en el marco SOC 2 del AICPA y su convergencia con el Esquema Nacional de Seguridad (ENS), la Directiva NIS2 y otras normas de referencia en España y la Unión Europea.</w:t>
      </w:r>
    </w:p>
    <w:p>
      <w:r>
        <w:t>La encuesta está diseñada para:</w:t>
      </w:r>
      <w:r/>
      <w:r>
        <w:br/>
        <w:t xml:space="preserve">- Obtener una visión cuantitativa de la </w:t>
      </w:r>
      <w:r>
        <w:rPr>
          <w:b/>
        </w:rPr>
        <w:t>madurez</w:t>
      </w:r>
      <w:r>
        <w:t xml:space="preserve"> de ciberseguridad en organizaciones españolas de distintos sectores.</w:t>
      </w:r>
      <w:r/>
      <w:r>
        <w:br/>
        <w:t>- Identificar brechas específicas en gobernanza, gestión de riesgos, controles técnicos y cultura organizativa.</w:t>
      </w:r>
      <w:r/>
      <w:r>
        <w:br/>
        <w:t>- Facilitar la elaboración de un Índice Global de Madurez (IGM) y estimar el retorno de la inversión (ROI) de iniciativas de ciberseguridad.</w:t>
      </w:r>
    </w:p>
    <w:p>
      <w:pPr>
        <w:pStyle w:val="Heading2"/>
        <w:keepNext/>
        <w:keepLines/>
      </w:pPr>
      <w:r>
        <w:rPr>
          <w:color w:val="0066CC"/>
        </w:rPr>
        <w:t>2. Población objetivo y perfiles de respuesta</w:t>
      </w:r>
    </w:p>
    <w:p>
      <w:r>
        <w:t>La encuesta se dirige a organizaciones públicas y privadas con exposición significativa a riesgos de ciberseguridad, incluyendo:</w:t>
      </w:r>
      <w:r/>
      <w:r>
        <w:br/>
        <w:t>- Administración General del Estado, administraciones autonómicas y locales.</w:t>
      </w:r>
      <w:r/>
      <w:r>
        <w:br/>
        <w:t>- Operadores esenciales e importantes según NIS2 (energía, salud, transporte, agua, finanzas, digital, etc.).</w:t>
      </w:r>
      <w:r/>
      <w:r>
        <w:br/>
        <w:t>- Proveedores de servicios tecnológicos: cloud, SaaS, MSP, datacenters.</w:t>
      </w:r>
    </w:p>
    <w:p>
      <w:r>
        <w:t>Perfiles recomendados de respuesta:</w:t>
      </w:r>
      <w:r/>
      <w:r>
        <w:br/>
        <w:t>- CISO o Responsable de Seguridad de la Información.</w:t>
      </w:r>
      <w:r/>
      <w:r>
        <w:br/>
        <w:t>- CIO, CTO o responsable TIC.</w:t>
      </w:r>
      <w:r/>
      <w:r>
        <w:br/>
        <w:t>- Responsables de Riesgos, Cumplimiento o Auditoría Interna.</w:t>
      </w:r>
      <w:r/>
      <w:r>
        <w:br/>
        <w:t>- Miembros de la alta dirección con responsabilidad sobre continuidad y riesgo.</w:t>
      </w:r>
    </w:p>
    <w:p>
      <w:pPr>
        <w:pStyle w:val="Heading2"/>
        <w:keepNext/>
        <w:keepLines/>
      </w:pPr>
      <w:r>
        <w:rPr>
          <w:color w:val="0066CC"/>
        </w:rPr>
        <w:t>3. Estructura de la encuesta</w:t>
      </w:r>
    </w:p>
    <w:p>
      <w:r>
        <w:t>La encuesta se articula en bloques que reflejan los Trust Services Criteria (TSC) de SOC 2 y su alineamiento con ENS y NIS2:</w:t>
      </w:r>
    </w:p>
    <w:p>
      <w:pPr>
        <w:pStyle w:val="ListNumber"/>
        <w:keepLines w:val="1"/>
        <w:keepNext w:val="1"/>
        <w:widowControl w:val="1"/>
      </w:pPr>
      <w:r>
        <w:t>Información general de la organización.</w:t>
      </w:r>
    </w:p>
    <w:p>
      <w:pPr>
        <w:pStyle w:val="ListNumber"/>
        <w:keepLines w:val="1"/>
        <w:keepNext w:val="1"/>
        <w:widowControl w:val="1"/>
      </w:pPr>
      <w:r>
        <w:t>Gobernanza y entorno de control (CC1).</w:t>
      </w:r>
    </w:p>
    <w:p>
      <w:pPr>
        <w:pStyle w:val="ListNumber"/>
        <w:keepLines w:val="1"/>
        <w:keepNext w:val="1"/>
        <w:widowControl w:val="1"/>
      </w:pPr>
      <w:r>
        <w:t>Información y comunicación (CC2).</w:t>
      </w:r>
    </w:p>
    <w:p>
      <w:pPr>
        <w:pStyle w:val="ListNumber"/>
        <w:keepLines w:val="1"/>
        <w:keepNext w:val="1"/>
        <w:widowControl w:val="1"/>
      </w:pPr>
      <w:r>
        <w:t>Evaluación de riesgos (CC3).</w:t>
      </w:r>
    </w:p>
    <w:p>
      <w:pPr>
        <w:pStyle w:val="ListNumber"/>
        <w:keepLines w:val="1"/>
        <w:keepNext w:val="1"/>
        <w:widowControl w:val="1"/>
      </w:pPr>
      <w:r>
        <w:t>Actividades de monitorización (CC4).</w:t>
      </w:r>
    </w:p>
    <w:p>
      <w:pPr>
        <w:pStyle w:val="ListNumber"/>
        <w:keepLines w:val="1"/>
        <w:keepNext w:val="1"/>
        <w:widowControl w:val="1"/>
      </w:pPr>
      <w:r>
        <w:t>Actividades de control (CC5).</w:t>
      </w:r>
    </w:p>
    <w:p>
      <w:pPr>
        <w:pStyle w:val="ListNumber"/>
        <w:keepLines w:val="1"/>
        <w:keepNext w:val="1"/>
        <w:widowControl w:val="1"/>
      </w:pPr>
      <w:r>
        <w:t>Controles de acceso lógico y físico (CC6).</w:t>
      </w:r>
    </w:p>
    <w:p>
      <w:pPr>
        <w:pStyle w:val="ListNumber"/>
        <w:keepLines w:val="1"/>
        <w:keepNext w:val="1"/>
        <w:widowControl w:val="1"/>
      </w:pPr>
      <w:r>
        <w:t>Operaciones del sistema y gestión de vulnerabilidades (CC7).</w:t>
      </w:r>
    </w:p>
    <w:p>
      <w:pPr>
        <w:pStyle w:val="ListNumber"/>
        <w:keepLines w:val="1"/>
        <w:keepNext w:val="1"/>
        <w:widowControl w:val="1"/>
      </w:pPr>
      <w:r>
        <w:t>Gestión de cambios (CC8).</w:t>
      </w:r>
    </w:p>
    <w:p>
      <w:pPr>
        <w:pStyle w:val="ListNumber"/>
        <w:keepLines w:val="1"/>
        <w:keepNext w:val="1"/>
        <w:widowControl w:val="1"/>
      </w:pPr>
      <w:r>
        <w:t>Mitigación de riesgos (CC9).</w:t>
      </w:r>
    </w:p>
    <w:p>
      <w:pPr>
        <w:pStyle w:val="ListNumber"/>
        <w:keepLines w:val="1"/>
        <w:keepNext w:val="1"/>
        <w:widowControl w:val="1"/>
      </w:pPr>
      <w:r>
        <w:t>Disponibilidad y continuidad.</w:t>
      </w:r>
    </w:p>
    <w:p>
      <w:pPr>
        <w:pStyle w:val="ListNumber"/>
        <w:keepLines w:val="1"/>
        <w:keepNext w:val="1"/>
        <w:widowControl w:val="1"/>
      </w:pPr>
      <w:r>
        <w:t>Integridad del procesamiento.</w:t>
      </w:r>
    </w:p>
    <w:p>
      <w:pPr>
        <w:pStyle w:val="ListNumber"/>
        <w:keepLines w:val="1"/>
        <w:keepNext w:val="1"/>
        <w:widowControl w:val="1"/>
      </w:pPr>
      <w:r>
        <w:t>Confidencialidad.</w:t>
      </w:r>
    </w:p>
    <w:p>
      <w:pPr>
        <w:pStyle w:val="ListNumber"/>
        <w:keepLines w:val="1"/>
        <w:keepNext w:val="1"/>
        <w:widowControl w:val="1"/>
      </w:pPr>
      <w:r>
        <w:t>Privacidad y protección de datos.</w:t>
      </w:r>
    </w:p>
    <w:p>
      <w:pPr>
        <w:pStyle w:val="ListNumber"/>
        <w:keepLines w:val="1"/>
        <w:keepNext w:val="1"/>
        <w:widowControl w:val="1"/>
      </w:pPr>
      <w:r>
        <w:t>Proveedores y cadena de suministro.</w:t>
      </w:r>
    </w:p>
    <w:p>
      <w:pPr>
        <w:pStyle w:val="ListNumber"/>
        <w:keepLines w:val="1"/>
        <w:keepNext w:val="1"/>
        <w:widowControl w:val="1"/>
      </w:pPr>
      <w:r>
        <w:t>IA, automatización y riesgos emergentes.</w:t>
      </w:r>
    </w:p>
    <w:p>
      <w:pPr>
        <w:pStyle w:val="ListNumber"/>
        <w:keepLines w:val="1"/>
        <w:keepNext w:val="1"/>
        <w:widowControl w:val="1"/>
      </w:pPr>
      <w:r>
        <w:t>Percepción, prioridades y recursos.</w:t>
      </w:r>
    </w:p>
    <w:p>
      <w:pPr>
        <w:pStyle w:val="ListNumber"/>
        <w:keepLines w:val="1"/>
        <w:widowControl w:val="1"/>
      </w:pPr>
      <w:r>
        <w:t>Comentarios abiertos.</w:t>
      </w:r>
    </w:p>
    <w:p>
      <w:r>
        <w:t>Cada bloque incluye preguntas de opción múltiple con escalas de madurez y algunas preguntas abiertas para capturar matices narrativos.</w:t>
      </w:r>
    </w:p>
    <w:p>
      <w:pPr>
        <w:pStyle w:val="Heading2"/>
        <w:keepNext/>
        <w:keepLines/>
      </w:pPr>
      <w:r>
        <w:rPr>
          <w:color w:val="0066CC"/>
        </w:rPr>
        <w:t>4. Escalas de respuesta y lógica de puntuación</w:t>
      </w:r>
    </w:p>
    <w:p>
      <w:pPr>
        <w:pStyle w:val="Heading3"/>
        <w:keepNext/>
        <w:keepLines/>
      </w:pPr>
      <w:r>
        <w:t>4.1 Tipo de escala</w:t>
      </w:r>
    </w:p>
    <w:p>
      <w:r>
        <w:t>Las preguntas cerradas utilizan principalmente:</w:t>
      </w:r>
      <w:r/>
      <w:r>
        <w:br/>
        <w:t>- Escalas ordinales de madurez (5 niveles) desde ausencia de práctica hasta enfoque sistemático y medido.</w:t>
      </w:r>
      <w:r/>
      <w:r>
        <w:br/>
        <w:t>- Rangos porcentuales (0–20 %, 21–50 %, 51–80 %, 81–99 %, 100 %) para reflejar cobertura de controles.</w:t>
      </w:r>
      <w:r/>
      <w:r>
        <w:br/>
        <w:t>- Frecuencias (nunca, ocasionalmente, anual, trimestral, mensual, continuo).</w:t>
      </w:r>
    </w:p>
    <w:p>
      <w:r>
        <w:t>El tono de las descripciones combina precisión técnica con un toque irónico y literario, para invitar a la reflexión sin caer en la rigidez burocrática.</w:t>
      </w:r>
    </w:p>
    <w:p>
      <w:pPr>
        <w:pStyle w:val="Heading3"/>
        <w:keepNext/>
        <w:keepLines/>
      </w:pPr>
      <w:r>
        <w:t>4.2 Asignación de puntuaciones por respuesta</w:t>
      </w:r>
    </w:p>
    <w:p>
      <w:r>
        <w:t>Se recomienda traducir cada respuesta en un valor numérico normalizado, por ejemplo:</w:t>
      </w:r>
      <w:r/>
      <w:r>
        <w:br/>
        <w:t>- Escala de madurez de 5 niveles: 0, 25, 50, 75, 100.</w:t>
      </w:r>
      <w:r/>
      <w:r>
        <w:br/>
        <w:t>- Rangos porcentuales: 10, 35, 65, 90, 100 (para reflejar que el 100 % suele ser excepcional).</w:t>
      </w:r>
      <w:r/>
      <w:r>
        <w:br/>
        <w:t>- Frecuencias: 0 (nunca), 25 (ocasional), 50 (anual), 75 (trimestral), 100 (mensual o continuo).</w:t>
      </w:r>
    </w:p>
    <w:p>
      <w:r>
        <w:t>Las preguntas pueden agruparse por bloques para obtener subíndices temáticos y un Índice Global de Madurez (IGM), que será la media ponderada de los subíndices.</w:t>
      </w:r>
    </w:p>
    <w:p>
      <w:pPr>
        <w:pStyle w:val="Heading3"/>
        <w:keepNext/>
        <w:keepLines/>
      </w:pPr>
      <w:r>
        <w:t>4.3 Ponderación de bloques</w:t>
      </w:r>
    </w:p>
    <w:p>
      <w:r>
        <w:t>Se sugiere una ponderación de referencia, ajustable según sector:</w:t>
      </w:r>
      <w:r/>
      <w:r>
        <w:br/>
        <w:t>- Gobernanza y entorno de control (CC1): 15 %.</w:t>
      </w:r>
      <w:r/>
      <w:r>
        <w:br/>
        <w:t>- Evaluación de riesgos y monitorización (CC3, CC4): 20 %.</w:t>
      </w:r>
      <w:r/>
      <w:r>
        <w:br/>
        <w:t>- Controles técnicos (CC5–CC8, accesos, vulnerabilidades): 30 %.</w:t>
      </w:r>
      <w:r/>
      <w:r>
        <w:br/>
        <w:t>- Disponibilidad, integridad, confidencialidad, privacidad: 20 %.</w:t>
      </w:r>
      <w:r/>
      <w:r>
        <w:br/>
        <w:t>- Proveedores, IA y riesgos emergentes: 10 %.</w:t>
      </w:r>
      <w:r/>
      <w:r>
        <w:br/>
        <w:t>- Percepción y recursos: 5 %.</w:t>
      </w:r>
    </w:p>
    <w:p>
      <w:r>
        <w:t>Esta ponderación refleja la importancia creciente otorgada a gobernanza, gestión de riesgos y resiliencia operacional en SOC 2 y NIS2.</w:t>
      </w:r>
    </w:p>
    <w:p>
      <w:pPr>
        <w:pStyle w:val="Heading2"/>
        <w:keepNext/>
        <w:keepLines/>
      </w:pPr>
      <w:r>
        <w:rPr>
          <w:color w:val="0066CC"/>
        </w:rPr>
        <w:t>5. Procedimiento de aplicación</w:t>
      </w:r>
    </w:p>
    <w:p>
      <w:pPr>
        <w:pStyle w:val="Heading3"/>
        <w:keepNext/>
        <w:keepLines/>
      </w:pPr>
      <w:r>
        <w:t>5.1 Modalidad de recogida de datos</w:t>
      </w:r>
    </w:p>
    <w:p>
      <w:r>
        <w:t>Se recomienda aplicar la encuesta mediante:</w:t>
      </w:r>
      <w:r/>
      <w:r>
        <w:br/>
        <w:t>- Cuestionario en línea (formulario web o herramienta de encuestas) con control de acceso.</w:t>
      </w:r>
      <w:r/>
      <w:r>
        <w:br/>
        <w:t>- Alternativamente, envío en formato editable (Markdown o equivalente) con consolidación posterior.</w:t>
      </w:r>
    </w:p>
    <w:p>
      <w:r>
        <w:t>Debe garantizarse la confidencialidad de las respuestas y, en su caso, el anonimato cuando se usen para análisis comparativos sectoriales o nacionales.</w:t>
      </w:r>
    </w:p>
    <w:p>
      <w:pPr>
        <w:pStyle w:val="Heading3"/>
        <w:keepNext/>
        <w:keepLines/>
      </w:pPr>
      <w:r>
        <w:t>5.2 Consentimiento y aviso de privacidad</w:t>
      </w:r>
    </w:p>
    <w:p>
      <w:r>
        <w:t>Antes de iniciar la encuesta, se debe informar al participante sobre:</w:t>
      </w:r>
      <w:r/>
      <w:r>
        <w:br/>
        <w:t>- Finalidad del tratamiento de datos (análisis de madurez, elaboración de informes agregados, benchmarking).</w:t>
      </w:r>
      <w:r/>
      <w:r>
        <w:br/>
        <w:t>- Base jurídica aplicable (interés legítimo, misión de interés público, etc., según el promotor).</w:t>
      </w:r>
      <w:r/>
      <w:r>
        <w:br/>
        <w:t>- Destinatarios de los resultados y periodo de conservación.</w:t>
      </w:r>
      <w:r/>
      <w:r>
        <w:br/>
        <w:t>- Derechos de acceso, rectificación, supresión, etc., conforme al RGPD.</w:t>
      </w:r>
    </w:p>
    <w:p>
      <w:pPr>
        <w:pStyle w:val="Heading3"/>
        <w:keepNext/>
        <w:keepLines/>
      </w:pPr>
      <w:r>
        <w:t>5.3 Tiempo estimado de cumplimentación</w:t>
      </w:r>
    </w:p>
    <w:p>
      <w:r>
        <w:t>Para una respuesta reflexiva, se estima:</w:t>
      </w:r>
      <w:r/>
      <w:r>
        <w:br/>
        <w:t>- 25–40 minutos para completar todas las secciones.</w:t>
      </w:r>
      <w:r/>
      <w:r>
        <w:br/>
        <w:t>- Puede reducirse para organizaciones con marcos de ciberseguridad ya consolidados.</w:t>
      </w:r>
    </w:p>
    <w:p>
      <w:pPr>
        <w:pStyle w:val="Heading2"/>
        <w:keepNext/>
        <w:keepLines/>
      </w:pPr>
      <w:r>
        <w:rPr>
          <w:color w:val="0066CC"/>
        </w:rPr>
        <w:t>6. Construcción del Índice Global de Madurez (IGM)</w:t>
      </w:r>
    </w:p>
    <w:p>
      <w:pPr>
        <w:pStyle w:val="Heading3"/>
        <w:keepNext/>
        <w:keepLines/>
      </w:pPr>
      <w:r>
        <w:t>6.1 Definición</w:t>
      </w:r>
    </w:p>
    <w:p>
      <w:r>
        <w:t>El IGM es un indicador compuesto entre 0 y 100 que resume el grado de madurez de la organización en relación con los criterios SOC 2, ENS y NIS2, integrando gobernanza, control, resiliencia y cultura.</w:t>
      </w:r>
    </w:p>
    <w:p>
      <w:pPr>
        <w:pStyle w:val="Heading3"/>
        <w:keepNext/>
        <w:keepLines/>
      </w:pPr>
      <w:r>
        <w:t>6.2 Pasos de cálculo</w:t>
      </w:r>
    </w:p>
    <w:p>
      <w:pPr>
        <w:pStyle w:val="ListNumber"/>
        <w:keepLines w:val="1"/>
        <w:keepNext w:val="1"/>
        <w:widowControl w:val="1"/>
      </w:pPr>
      <w:r>
        <w:t>Asignar a cada respuesta una puntuación normalizada de 0–100.</w:t>
      </w:r>
    </w:p>
    <w:p>
      <w:pPr>
        <w:pStyle w:val="ListNumber"/>
        <w:keepLines w:val="1"/>
        <w:keepNext w:val="1"/>
        <w:widowControl w:val="1"/>
      </w:pPr>
      <w:r>
        <w:t>Calcular la media (simple o ponderada) de las preguntas dentro de cada bloque para obtener subíndices.</w:t>
      </w:r>
    </w:p>
    <w:p>
      <w:pPr>
        <w:pStyle w:val="ListNumber"/>
        <w:keepLines w:val="1"/>
        <w:keepNext w:val="1"/>
        <w:widowControl w:val="1"/>
      </w:pPr>
      <w:r>
        <w:t>Aplicar las ponderaciones definidas a cada bloque.</w:t>
      </w:r>
    </w:p>
    <w:p>
      <w:pPr>
        <w:pStyle w:val="ListNumber"/>
        <w:keepLines w:val="1"/>
        <w:widowControl w:val="1"/>
      </w:pPr>
      <w:r>
        <w:t>Calcular el IGM como suma de subíndices ponderados.</w:t>
      </w:r>
    </w:p>
    <w:p>
      <w:r>
        <w:t>Ejemplo simplificado:</w:t>
      </w:r>
      <w:r/>
      <w:r>
        <w:br/>
        <w:t>- IGM = 0,15·Gobernanza + 0,20·Riesgos/Monitorización + 0,30·Controles técnicos + 0,20·TSC (disponibilidad/confidencialidad/privacidad) + 0,10·Proveedores/IA + 0,05·Percepción/recursos.</w:t>
      </w:r>
    </w:p>
    <w:p>
      <w:pPr>
        <w:pStyle w:val="Heading3"/>
        <w:keepNext/>
        <w:keepLines/>
      </w:pPr>
      <w:r>
        <w:t>6.3 Interpretación del IGM</w:t>
      </w:r>
    </w:p>
    <w:p>
      <w:r>
        <w:t>Se proponen las siguientes bandas de interpretación:</w:t>
      </w:r>
      <w:r/>
      <w:r>
        <w:br/>
        <w:t>- 0–24: Nivel inicial – Riesgo elevado, controles fragmentarios, dependencia de esfuerzos heroicos.</w:t>
      </w:r>
      <w:r/>
      <w:r>
        <w:br/>
        <w:t>- 25–49: Nivel básico – Elementos clave presentes, pero sin enfoque integral ni métricas sólidas.</w:t>
      </w:r>
      <w:r/>
      <w:r>
        <w:br/>
        <w:t>- 50–74: Nivel intermedio – Marco definido, controles razonables, aunque con lagunas y enfoque reactivo.</w:t>
      </w:r>
      <w:r/>
      <w:r>
        <w:br/>
        <w:t>- 75–89: Nivel avanzado – Gestión sistemática, basada en riesgos y con enfoque de mejora continua.</w:t>
      </w:r>
      <w:r/>
      <w:r>
        <w:br/>
        <w:t>- 90–100: Nivel líder – Integración plena con estrategia, resiliencia demostrada, cultura consolidada y visión de valor.</w:t>
      </w:r>
    </w:p>
    <w:p>
      <w:pPr>
        <w:pStyle w:val="Heading2"/>
        <w:keepNext/>
        <w:keepLines/>
      </w:pPr>
      <w:r>
        <w:rPr>
          <w:color w:val="0066CC"/>
        </w:rPr>
        <w:t>7. Marco de ROI de ciberseguridad</w:t>
      </w:r>
    </w:p>
    <w:p>
      <w:pPr>
        <w:pStyle w:val="Heading3"/>
        <w:keepNext/>
        <w:keepLines/>
      </w:pPr>
      <w:r>
        <w:t>7.1 Enfoque general</w:t>
      </w:r>
    </w:p>
    <w:p>
      <w:r>
        <w:t>La encuesta puede complementarse con un análisis de ROI de ciberseguridad que estime:</w:t>
      </w:r>
      <w:r/>
      <w:r>
        <w:br/>
        <w:t>- Pérdidas anuales esperadas por incidentes (frecuencia x impacto) antes de inversiones significativas.</w:t>
      </w:r>
      <w:r/>
      <w:r>
        <w:br/>
        <w:t>- Pérdidas anuales esperadas después de las inversiones (reducción de probabilidad o impacto).</w:t>
      </w:r>
      <w:r/>
      <w:r>
        <w:br/>
        <w:t>- Costes de las inversiones en personas, procesos y tecnología.</w:t>
      </w:r>
    </w:p>
    <w:p>
      <w:pPr>
        <w:pStyle w:val="Heading3"/>
        <w:keepNext/>
        <w:keepLines/>
      </w:pPr>
      <w:r>
        <w:t>7.2 Fórmula básica</w:t>
      </w:r>
    </w:p>
    <w:p>
      <w:r>
        <w:t>Una aproximación simple al ROI de ciberseguridad:</w:t>
      </w:r>
    </w:p>
    <w:p>
      <w:pPr>
        <w:pStyle w:val="ListBullet"/>
        <w:keepLines w:val="1"/>
        <w:keepNext w:val="1"/>
        <w:widowControl w:val="1"/>
      </w:pPr>
      <w:r>
        <w:t>Beneficio anual esperado = Pérdida esperada antes – Pérdida esperada después.</w:t>
      </w:r>
    </w:p>
    <w:p>
      <w:pPr>
        <w:pStyle w:val="ListBullet"/>
        <w:keepLines w:val="1"/>
        <w:widowControl w:val="1"/>
      </w:pPr>
      <w:r>
        <w:t>ROI (%) = (Beneficio anual esperado – Coste anual de la inversión) / Coste anual de la inversión · 100.</w:t>
      </w:r>
    </w:p>
    <w:p>
      <w:r>
        <w:t>Este marco puede enriquecerse con modelos de cuantificación basados en FAIR u otras metodologías cuantitativas.</w:t>
      </w:r>
    </w:p>
    <w:p>
      <w:pPr>
        <w:pStyle w:val="Heading2"/>
        <w:keepNext/>
        <w:keepLines/>
      </w:pPr>
      <w:r>
        <w:rPr>
          <w:color w:val="0066CC"/>
        </w:rPr>
        <w:t>8. Sesgos, limitaciones y buenas prácticas</w:t>
      </w:r>
    </w:p>
    <w:p>
      <w:pPr>
        <w:pStyle w:val="Heading3"/>
        <w:keepNext/>
        <w:keepLines/>
      </w:pPr>
      <w:r>
        <w:t>8.1 Sesgos comunes</w:t>
      </w:r>
    </w:p>
    <w:p>
      <w:pPr>
        <w:pStyle w:val="ListBullet"/>
        <w:keepLines w:val="1"/>
        <w:keepNext w:val="1"/>
        <w:widowControl w:val="1"/>
      </w:pPr>
      <w:r>
        <w:t>Sesgo de optimismo: tendencia a sobrestimar el nivel de madurez.</w:t>
      </w:r>
    </w:p>
    <w:p>
      <w:pPr>
        <w:pStyle w:val="ListBullet"/>
        <w:keepLines w:val="1"/>
        <w:keepNext w:val="1"/>
        <w:widowControl w:val="1"/>
      </w:pPr>
      <w:r>
        <w:t>Sesgo de cumplimiento: responder en función de “lo que debería ser” más que de “lo que es”.</w:t>
      </w:r>
    </w:p>
    <w:p>
      <w:pPr>
        <w:pStyle w:val="ListBullet"/>
        <w:keepLines w:val="1"/>
        <w:widowControl w:val="1"/>
      </w:pPr>
      <w:r>
        <w:t>Sesgo de representatividad: respuestas centradas en una unidad organizativa concreta en lugar de la organización completa.</w:t>
      </w:r>
    </w:p>
    <w:p>
      <w:pPr>
        <w:pStyle w:val="Heading3"/>
        <w:keepNext/>
        <w:keepLines/>
      </w:pPr>
      <w:r>
        <w:t>8.2 Medidas para mitigarlos</w:t>
      </w:r>
    </w:p>
    <w:p>
      <w:pPr>
        <w:pStyle w:val="ListBullet"/>
        <w:keepLines w:val="1"/>
        <w:keepNext w:val="1"/>
        <w:widowControl w:val="1"/>
      </w:pPr>
      <w:r>
        <w:t>Invitar a responder conjuntamente a representantes de seguridad, TI, negocio y cumplimiento.</w:t>
      </w:r>
    </w:p>
    <w:p>
      <w:pPr>
        <w:pStyle w:val="ListBullet"/>
        <w:keepLines w:val="1"/>
        <w:keepNext w:val="1"/>
        <w:widowControl w:val="1"/>
      </w:pPr>
      <w:r>
        <w:t>Contrastar la autoevaluación con evidencias (políticas, informes, métricas existentes).</w:t>
      </w:r>
    </w:p>
    <w:p>
      <w:pPr>
        <w:pStyle w:val="ListBullet"/>
        <w:keepLines w:val="1"/>
        <w:widowControl w:val="1"/>
      </w:pPr>
      <w:r>
        <w:t>Recordar explícitamente que el objetivo es la mejora, no el juicio.</w:t>
      </w:r>
    </w:p>
    <w:p>
      <w:pPr>
        <w:pStyle w:val="Heading2"/>
        <w:keepNext/>
        <w:keepLines/>
      </w:pPr>
      <w:r>
        <w:rPr>
          <w:color w:val="0066CC"/>
        </w:rPr>
        <w:t>9. Uso de resultados y reporte</w:t>
      </w:r>
    </w:p>
    <w:p>
      <w:r>
        <w:t>Los resultados de la encuesta permiten:</w:t>
      </w:r>
      <w:r/>
      <w:r>
        <w:br/>
        <w:t>- Elaborar informes individuales por organización, con recomendaciones prioritarias.</w:t>
      </w:r>
      <w:r/>
      <w:r>
        <w:br/>
        <w:t>- Generar informes agregados por sector, tamaño y tipo de organización.</w:t>
      </w:r>
      <w:r/>
      <w:r>
        <w:br/>
        <w:t>- Alimentar ejercicios de planificación estratégica de ciberseguridad y programas de cumplimiento.</w:t>
      </w:r>
    </w:p>
    <w:p>
      <w:r>
        <w:t>Se recomienda presentar los resultados con visualizaciones claras (gráficos radar, barras, mapas de calor) y un relato que conecte los hallazgos con los objetivos de negocio, la resiliencia y el cumplimiento regulatorio.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