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Matriz de Evaluación PRAGMATIC Completa (resumen para indicadores SOC 2 clave)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Prc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(0–3)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(0–27)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de revisiones/año de la estrategia de ciberseguridad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23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activos/servicios críticos con análisis de riesgo ≤ 12 meses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MTTD de incidentes críticos (horas)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controles de seguridad clave automatizados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21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cuentas internas con MFA en sistemas críticos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26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Horas de caída no planificada de servicios críticos vs SLA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23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datos confidenciales cifrados en reposo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20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M8.1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Tiempo medio de respuesta a solicitudes de derechos (días)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M9.1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de proveedores críticos evaluados en ciberseguridad ≤ 24 meses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21</w:t>
            </w:r>
          </w:p>
        </w:tc>
      </w:tr>
    </w:tbl>
    <w:p/>
    <w:p>
      <w:r>
        <w:t>Nota: “Prc” se usa para abreviar “Preciso” en la tabla.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