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de Excel para cálculo de IGM y ROI</w:t>
      </w:r>
    </w:p>
    <w:p>
      <w:r>
        <w:t>Se propone una hoja de cálculo con las siguientes pestañas:</w:t>
      </w:r>
    </w:p>
    <w:p>
      <w:pPr>
        <w:pStyle w:val="Heading2"/>
        <w:keepNext/>
        <w:keepLines/>
      </w:pPr>
      <w:r>
        <w:rPr>
          <w:color w:val="0066CC"/>
        </w:rPr>
        <w:t>Hoja 1 – "Respuestas"</w:t>
      </w:r>
    </w:p>
    <w:p>
      <w:r>
        <w:t>Columnas:</w:t>
      </w:r>
      <w:r/>
      <w:r>
        <w:br/>
        <w:t>- A: ID de pregunta (ej. 2.1, 2.2, ...).</w:t>
      </w:r>
      <w:r/>
      <w:r>
        <w:br/>
        <w:t>- B: Bloque (Gobernanza, Riesgos, etc.).</w:t>
      </w:r>
      <w:r/>
      <w:r>
        <w:br/>
        <w:t>- C: Descripción breve.</w:t>
      </w:r>
      <w:r/>
      <w:r>
        <w:br/>
        <w:t>- D: Respuesta seleccionada (texto).</w:t>
      </w:r>
      <w:r/>
      <w:r>
        <w:br/>
        <w:t>- E: Puntuación asignada (0–100).</w:t>
      </w:r>
    </w:p>
    <w:p>
      <w:r>
        <w:t>Cada fila corresponde a una pregunta respondida en el cuestionario.</w:t>
      </w:r>
    </w:p>
    <w:p>
      <w:pPr>
        <w:pStyle w:val="Heading2"/>
        <w:keepNext/>
        <w:keepLines/>
      </w:pPr>
      <w:r>
        <w:rPr>
          <w:color w:val="0066CC"/>
        </w:rPr>
        <w:t>Hoja 2 – "Ponderaciones"</w:t>
      </w:r>
    </w:p>
    <w:p>
      <w:r>
        <w:t>Columnas:</w:t>
      </w:r>
      <w:r/>
      <w:r>
        <w:br/>
        <w:t>- A: Bloque.</w:t>
      </w:r>
      <w:r/>
      <w:r>
        <w:br/>
        <w:t>- B: Peso (%) en el IGM.</w:t>
      </w:r>
    </w:p>
    <w:p>
      <w:r>
        <w:t>Ejemplo de filas:</w:t>
      </w:r>
      <w:r/>
      <w:r>
        <w:br/>
        <w:t>- Gobernanza (CC1) – 15.</w:t>
      </w:r>
      <w:r/>
      <w:r>
        <w:br/>
        <w:t>- Riesgos y monitorización (CC3–CC4) – 20.</w:t>
      </w:r>
      <w:r/>
      <w:r>
        <w:br/>
        <w:t>- Controles técnicos (CC5–CC8) – 30.</w:t>
      </w:r>
      <w:r/>
      <w:r>
        <w:br/>
        <w:t>- TSC (disponibilidad, integridad, confidencialidad, privacidad) – 20.</w:t>
      </w:r>
      <w:r/>
      <w:r>
        <w:br/>
        <w:t>- Proveedores e IA – 10.</w:t>
      </w:r>
      <w:r/>
      <w:r>
        <w:br/>
        <w:t>- Percepción y recursos – 5.</w:t>
      </w:r>
    </w:p>
    <w:p>
      <w:pPr>
        <w:pStyle w:val="Heading2"/>
        <w:keepNext/>
        <w:keepLines/>
      </w:pPr>
      <w:r>
        <w:rPr>
          <w:color w:val="0066CC"/>
        </w:rPr>
        <w:t>Hoja 3 – "Cálculos IGM"</w:t>
      </w:r>
    </w:p>
    <w:p>
      <w:r>
        <w:t>Columnas:</w:t>
      </w:r>
      <w:r/>
      <w:r>
        <w:br/>
        <w:t>- A: Bloque.</w:t>
      </w:r>
      <w:r/>
      <w:r>
        <w:br/>
        <w:t>- B: Puntuación media del bloque (calculada a partir de la hoja "Respuestas").</w:t>
      </w:r>
      <w:r/>
      <w:r>
        <w:br/>
        <w:t>- C: Peso (%) desde "Ponderaciones".</w:t>
      </w:r>
      <w:r/>
      <w:r>
        <w:br/>
        <w:t>- D: Puntuación ponderada (B * C / 100).</w:t>
      </w:r>
    </w:p>
    <w:p>
      <w:r>
        <w:t>En una celda adicional:</w:t>
      </w:r>
      <w:r/>
      <w:r>
        <w:br/>
        <w:t>- IGM = SUMA de la columna D.</w:t>
      </w:r>
    </w:p>
    <w:p>
      <w:r>
        <w:t>Ejemplo en Excel:</w:t>
      </w:r>
      <w:r/>
      <w:r>
        <w:br/>
        <w:t>- Suponiendo que las filas 2 a 7 de la columna D contienen las puntuaciones ponderadas:</w:t>
      </w:r>
      <w:r/>
      <w:r>
        <w:br/>
        <w:t xml:space="preserve">  - Celda D8: </w:t>
      </w:r>
      <w:r>
        <w:rPr>
          <w:rFonts w:ascii="Courier New" w:hAnsi="Courier New"/>
          <w:sz w:val="18"/>
        </w:rPr>
        <w:t>=SUMA(D2:D7)</w:t>
      </w:r>
    </w:p>
    <w:p>
      <w:pPr>
        <w:pStyle w:val="Heading2"/>
        <w:keepNext/>
        <w:keepLines/>
      </w:pPr>
      <w:r>
        <w:rPr>
          <w:color w:val="0066CC"/>
        </w:rPr>
        <w:t>Hoja 4 – "ROI Ciberseguridad"</w:t>
      </w:r>
    </w:p>
    <w:p>
      <w:r>
        <w:t>Columnas:</w:t>
      </w:r>
      <w:r/>
      <w:r>
        <w:br/>
        <w:t>- A: Concepto.</w:t>
      </w:r>
      <w:r/>
      <w:r>
        <w:br/>
        <w:t>- B: Valor antes de inversión.</w:t>
      </w:r>
      <w:r/>
      <w:r>
        <w:br/>
        <w:t>- C: Valor después de inversión.</w:t>
      </w:r>
      <w:r/>
      <w:r>
        <w:br/>
        <w:t>- D: Comentarios.</w:t>
      </w:r>
    </w:p>
    <w:p>
      <w:r>
        <w:t>Filas recomendadas:</w:t>
      </w:r>
      <w:r/>
      <w:r>
        <w:br/>
        <w:t>- Frecuencia anual esperada de incidentes significativos.</w:t>
      </w:r>
      <w:r/>
      <w:r>
        <w:br/>
        <w:t>- Impacto económico medio por incidente.</w:t>
      </w:r>
      <w:r/>
      <w:r>
        <w:br/>
        <w:t>- Pérdida anual esperada (Frecuencia x Impacto).</w:t>
      </w:r>
      <w:r/>
      <w:r>
        <w:br/>
        <w:t>- Coste anual de la inversión en ciberseguridad.</w:t>
      </w:r>
      <w:r/>
      <w:r>
        <w:br/>
        <w:t>- Pérdida anual esperada después de las inversiones.</w:t>
      </w:r>
      <w:r/>
      <w:r>
        <w:br/>
        <w:t>- Beneficio anual esperado (Pérdida antes – Pérdida después).</w:t>
      </w:r>
      <w:r/>
      <w:r>
        <w:br/>
        <w:t>- ROI (%) = (Beneficio – Coste) / Coste * 100.</w:t>
      </w:r>
    </w:p>
    <w:p>
      <w:r>
        <w:t>Ejemplo de fórmula de ROI en Excel:</w:t>
      </w:r>
      <w:r/>
      <w:r>
        <w:br/>
        <w:t>- Si:</w:t>
      </w:r>
      <w:r/>
      <w:r>
        <w:br/>
        <w:t xml:space="preserve">  - Pérdida antes está en B5.</w:t>
      </w:r>
      <w:r/>
      <w:r>
        <w:br/>
        <w:t xml:space="preserve">  - Pérdida después está en C5.</w:t>
      </w:r>
      <w:r/>
      <w:r>
        <w:br/>
        <w:t xml:space="preserve">  - Coste anual está en B6.</w:t>
      </w:r>
      <w:r/>
      <w:r>
        <w:br/>
        <w:t>- Entonces:</w:t>
      </w:r>
      <w:r/>
      <w:r>
        <w:br/>
        <w:t xml:space="preserve">  - Beneficio (celda B7): </w:t>
      </w:r>
      <w:r>
        <w:rPr>
          <w:rFonts w:ascii="Courier New" w:hAnsi="Courier New"/>
          <w:sz w:val="18"/>
        </w:rPr>
        <w:t>=B5-C5</w:t>
      </w:r>
      <w:r/>
      <w:r>
        <w:br/>
        <w:t xml:space="preserve">  - ROI % (celda B8): </w:t>
      </w:r>
      <w:r>
        <w:rPr>
          <w:rFonts w:ascii="Courier New" w:hAnsi="Courier New"/>
          <w:sz w:val="18"/>
        </w:rPr>
        <w:t>=(B7-B6)/B6*100</w:t>
      </w:r>
    </w:p>
    <w:p>
      <w:r>
        <w:t>Esta plantilla permite que un analista traduzca los resultados cualitativos de madurez en decisiones de inversión cuantificadas y defendibles ante dirección.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