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(f) Plantilla de Reporte Ejecutivo – Presentación tipo PowerPoint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"Estado de madurez en ciberseguridad – SOC 2 / ENS / NIS2".</w:t>
      </w:r>
    </w:p>
    <w:p>
      <w:pPr>
        <w:pStyle w:val="ListBullet"/>
        <w:keepLines w:val="1"/>
        <w:keepNext w:val="1"/>
        <w:widowControl w:val="1"/>
      </w:pPr>
      <w:r>
        <w:t>Subtítulo: Nombre de la organización y fecha.</w:t>
      </w:r>
    </w:p>
    <w:p>
      <w:pPr>
        <w:pStyle w:val="ListBullet"/>
        <w:keepLines w:val="1"/>
        <w:widowControl w:val="1"/>
      </w:pPr>
      <w:r>
        <w:t>Logotipo y eslogan si aplica.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>3–5 mensajes clave sobre el IGM.</w:t>
      </w:r>
    </w:p>
    <w:p>
      <w:pPr>
        <w:pStyle w:val="ListBullet"/>
        <w:keepLines w:val="1"/>
        <w:keepNext w:val="1"/>
        <w:widowControl w:val="1"/>
      </w:pPr>
      <w:r>
        <w:t>Principales fortalezas.</w:t>
      </w:r>
    </w:p>
    <w:p>
      <w:pPr>
        <w:pStyle w:val="ListBullet"/>
        <w:keepLines w:val="1"/>
        <w:widowControl w:val="1"/>
      </w:pPr>
      <w:r>
        <w:t>Riesgos y brechas prioritarias.</w:t>
      </w:r>
    </w:p>
    <w:p>
      <w:pPr>
        <w:pStyle w:val="Heading2"/>
        <w:keepNext/>
        <w:keepLines/>
      </w:pPr>
      <w:r>
        <w:rPr>
          <w:color w:val="0066CC"/>
        </w:rP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>Referencia a la encuesta SOC 2 – ENS – NIS2.</w:t>
      </w:r>
    </w:p>
    <w:p>
      <w:pPr>
        <w:pStyle w:val="ListBullet"/>
        <w:keepLines w:val="1"/>
        <w:keepNext w:val="1"/>
        <w:widowControl w:val="1"/>
      </w:pPr>
      <w:r>
        <w:t>Nº de preguntas, bloques y escalas.</w:t>
      </w:r>
    </w:p>
    <w:p>
      <w:pPr>
        <w:pStyle w:val="ListBullet"/>
        <w:keepLines w:val="1"/>
        <w:widowControl w:val="1"/>
      </w:pPr>
      <w:r>
        <w:t>Población interna encuestada (perfiles, áreas).</w:t>
      </w:r>
    </w:p>
    <w:p>
      <w:pPr>
        <w:pStyle w:val="Heading2"/>
        <w:keepNext/>
        <w:keepLines/>
      </w:pPr>
      <w:r>
        <w:rPr>
          <w:color w:val="0066CC"/>
        </w:rPr>
        <w:t>Diapositiva 4 – IGM global</w:t>
      </w:r>
    </w:p>
    <w:p>
      <w:pPr>
        <w:pStyle w:val="ListBullet"/>
        <w:keepLines w:val="1"/>
        <w:keepNext w:val="1"/>
        <w:widowControl w:val="1"/>
      </w:pPr>
      <w:r>
        <w:t>Gráfico de velocímetro o barra mostrando IGM (0–100).</w:t>
      </w:r>
    </w:p>
    <w:p>
      <w:pPr>
        <w:pStyle w:val="ListBullet"/>
        <w:keepLines w:val="1"/>
        <w:widowControl w:val="1"/>
      </w:pPr>
      <w:r>
        <w:t>Bandas de interpretación (Inicial, Básico, Intermedio, Avanzado, Líder).</w:t>
      </w:r>
    </w:p>
    <w:p>
      <w:pPr>
        <w:pStyle w:val="Heading2"/>
        <w:keepNext/>
        <w:keepLines/>
      </w:pPr>
      <w:r>
        <w:rPr>
          <w:color w:val="0066CC"/>
        </w:rPr>
        <w:t>Diapositiva 5 – Subíndices por bloque</w:t>
      </w:r>
    </w:p>
    <w:p>
      <w:pPr>
        <w:pStyle w:val="ListBullet"/>
        <w:keepLines w:val="1"/>
        <w:keepNext w:val="1"/>
        <w:widowControl w:val="1"/>
      </w:pPr>
      <w:r>
        <w:t>Gráfico de barras o radar con puntuación por bloque:</w:t>
      </w:r>
    </w:p>
    <w:p>
      <w:pPr>
        <w:pStyle w:val="ListBullet"/>
        <w:keepLines w:val="1"/>
        <w:keepNext w:val="1"/>
        <w:widowControl w:val="1"/>
      </w:pPr>
      <w:r>
        <w:t>Gobernanza.</w:t>
      </w:r>
    </w:p>
    <w:p>
      <w:pPr>
        <w:pStyle w:val="ListBullet"/>
        <w:keepLines w:val="1"/>
        <w:keepNext w:val="1"/>
        <w:widowControl w:val="1"/>
      </w:pPr>
      <w:r>
        <w:t>Riesgos y monitorización.</w:t>
      </w:r>
    </w:p>
    <w:p>
      <w:pPr>
        <w:pStyle w:val="ListBullet"/>
        <w:keepLines w:val="1"/>
        <w:keepNext w:val="1"/>
        <w:widowControl w:val="1"/>
      </w:pPr>
      <w:r>
        <w:t>Controles técnicos.</w:t>
      </w:r>
    </w:p>
    <w:p>
      <w:pPr>
        <w:pStyle w:val="ListBullet"/>
        <w:keepLines w:val="1"/>
        <w:keepNext w:val="1"/>
        <w:widowControl w:val="1"/>
      </w:pPr>
      <w:r>
        <w:t>TSC (disponibilidad, integridad, confidencialidad, privacidad).</w:t>
      </w:r>
    </w:p>
    <w:p>
      <w:pPr>
        <w:pStyle w:val="ListBullet"/>
        <w:keepLines w:val="1"/>
        <w:keepNext w:val="1"/>
        <w:widowControl w:val="1"/>
      </w:pPr>
      <w:r>
        <w:t>Proveedores e IA.</w:t>
      </w:r>
    </w:p>
    <w:p>
      <w:pPr>
        <w:pStyle w:val="ListBullet"/>
        <w:keepLines w:val="1"/>
        <w:widowControl w:val="1"/>
      </w:pPr>
      <w:r>
        <w:t>Percepción y recursos.</w:t>
      </w:r>
    </w:p>
    <w:p>
      <w:pPr>
        <w:pStyle w:val="Heading2"/>
        <w:keepNext/>
        <w:keepLines/>
      </w:pPr>
      <w:r>
        <w:rPr>
          <w:color w:val="0066CC"/>
        </w:rPr>
        <w:t>Diapositiva 6 – Comparativa sectorial (opcional)</w:t>
      </w:r>
    </w:p>
    <w:p>
      <w:pPr>
        <w:pStyle w:val="ListBullet"/>
        <w:keepLines w:val="1"/>
        <w:keepNext w:val="1"/>
        <w:widowControl w:val="1"/>
      </w:pPr>
      <w:r>
        <w:t>Gráfico comparando la organización con:</w:t>
      </w:r>
    </w:p>
    <w:p>
      <w:pPr>
        <w:pStyle w:val="ListBullet"/>
        <w:keepLines w:val="1"/>
        <w:keepNext w:val="1"/>
        <w:widowControl w:val="1"/>
      </w:pPr>
      <w:r>
        <w:t>Media sectorial.</w:t>
      </w:r>
    </w:p>
    <w:p>
      <w:pPr>
        <w:pStyle w:val="ListBullet"/>
        <w:keepLines w:val="1"/>
        <w:keepNext w:val="1"/>
        <w:widowControl w:val="1"/>
      </w:pPr>
      <w:r>
        <w:t>Media del grupo (por tamaño, tipo).</w:t>
      </w:r>
    </w:p>
    <w:p>
      <w:pPr>
        <w:pStyle w:val="ListBullet"/>
        <w:keepLines w:val="1"/>
        <w:widowControl w:val="1"/>
      </w:pPr>
      <w:r>
        <w:t>Objetivo deseado (target).</w:t>
      </w:r>
    </w:p>
    <w:p>
      <w:pPr>
        <w:pStyle w:val="Heading2"/>
        <w:keepNext/>
        <w:keepLines/>
      </w:pPr>
      <w:r>
        <w:rPr>
          <w:color w:val="0066CC"/>
        </w:rPr>
        <w:t>Diapositiva 7 – Hallazgos clave</w:t>
      </w:r>
    </w:p>
    <w:p>
      <w:pPr>
        <w:pStyle w:val="ListBullet"/>
        <w:keepLines w:val="1"/>
        <w:keepNext w:val="1"/>
        <w:widowControl w:val="1"/>
      </w:pPr>
      <w:r>
        <w:t>3–5 bullets sobre hallazgos más relevantes.</w:t>
      </w:r>
    </w:p>
    <w:p>
      <w:pPr>
        <w:pStyle w:val="ListBullet"/>
        <w:keepLines w:val="1"/>
        <w:widowControl w:val="1"/>
      </w:pPr>
      <w:r>
        <w:t>Enfoque en brechas de alto impacto para negocio y cumplimiento.</w:t>
      </w:r>
    </w:p>
    <w:p>
      <w:pPr>
        <w:pStyle w:val="Heading2"/>
        <w:keepNext/>
        <w:keepLines/>
      </w:pPr>
      <w:r>
        <w:rPr>
          <w:color w:val="0066CC"/>
        </w:rPr>
        <w:t>Diapositiva 8 – Riesgos prioritarios</w:t>
      </w:r>
    </w:p>
    <w:p>
      <w:pPr>
        <w:pStyle w:val="ListBullet"/>
        <w:keepLines w:val="1"/>
        <w:keepNext w:val="1"/>
        <w:widowControl w:val="1"/>
      </w:pPr>
      <w:r>
        <w:t>Lista de riesgos priorizados según impacto y probabilidad.</w:t>
      </w:r>
    </w:p>
    <w:p>
      <w:pPr>
        <w:pStyle w:val="ListBullet"/>
        <w:keepLines w:val="1"/>
        <w:keepNext w:val="1"/>
        <w:widowControl w:val="1"/>
      </w:pPr>
      <w:r>
        <w:t>Relación con:</w:t>
      </w:r>
    </w:p>
    <w:p>
      <w:pPr>
        <w:pStyle w:val="ListBullet"/>
        <w:keepLines w:val="1"/>
        <w:keepNext w:val="1"/>
        <w:widowControl w:val="1"/>
      </w:pPr>
      <w:r>
        <w:t>Servicios críticos.</w:t>
      </w:r>
    </w:p>
    <w:p>
      <w:pPr>
        <w:pStyle w:val="ListBullet"/>
        <w:keepLines w:val="1"/>
        <w:keepNext w:val="1"/>
        <w:widowControl w:val="1"/>
      </w:pPr>
      <w:r>
        <w:t>Obligaciones ENS/NIS2/RGPD.</w:t>
      </w:r>
    </w:p>
    <w:p>
      <w:pPr>
        <w:pStyle w:val="ListBullet"/>
        <w:keepLines w:val="1"/>
        <w:widowControl w:val="1"/>
      </w:pPr>
      <w:r>
        <w:t>Reputación y continuidad.</w:t>
      </w:r>
    </w:p>
    <w:p>
      <w:pPr>
        <w:pStyle w:val="Heading2"/>
        <w:keepNext/>
        <w:keepLines/>
      </w:pPr>
      <w:r>
        <w:rPr>
          <w:color w:val="0066CC"/>
        </w:rPr>
        <w:t>Diapositiva 9 – Roadmap de mejora</w:t>
      </w:r>
    </w:p>
    <w:p>
      <w:pPr>
        <w:pStyle w:val="ListBullet"/>
        <w:keepLines w:val="1"/>
        <w:keepNext w:val="1"/>
        <w:widowControl w:val="1"/>
      </w:pPr>
      <w:r>
        <w:t>Ejes temporales:</w:t>
      </w:r>
    </w:p>
    <w:p>
      <w:pPr>
        <w:pStyle w:val="ListBullet"/>
        <w:keepLines w:val="1"/>
        <w:keepNext w:val="1"/>
        <w:widowControl w:val="1"/>
      </w:pPr>
      <w:r>
        <w:t>Corto plazo (0–12 meses).</w:t>
      </w:r>
    </w:p>
    <w:p>
      <w:pPr>
        <w:pStyle w:val="ListBullet"/>
        <w:keepLines w:val="1"/>
        <w:keepNext w:val="1"/>
        <w:widowControl w:val="1"/>
      </w:pPr>
      <w:r>
        <w:t>Medio plazo (12–24 meses).</w:t>
      </w:r>
    </w:p>
    <w:p>
      <w:pPr>
        <w:pStyle w:val="ListBullet"/>
        <w:keepLines w:val="1"/>
        <w:keepNext w:val="1"/>
        <w:widowControl w:val="1"/>
      </w:pPr>
      <w:r>
        <w:t>Largo plazo (&gt; 24 meses).</w:t>
      </w:r>
    </w:p>
    <w:p>
      <w:pPr>
        <w:pStyle w:val="ListBullet"/>
        <w:keepLines w:val="1"/>
        <w:keepNext w:val="1"/>
        <w:widowControl w:val="1"/>
      </w:pPr>
      <w:r>
        <w:t>Para cada eje:</w:t>
      </w:r>
    </w:p>
    <w:p>
      <w:pPr>
        <w:pStyle w:val="ListBullet"/>
        <w:keepLines w:val="1"/>
        <w:keepNext w:val="1"/>
        <w:widowControl w:val="1"/>
      </w:pPr>
      <w:r>
        <w:t>Acciones recomendadas.</w:t>
      </w:r>
    </w:p>
    <w:p>
      <w:pPr>
        <w:pStyle w:val="ListBullet"/>
        <w:keepLines w:val="1"/>
        <w:keepNext w:val="1"/>
        <w:widowControl w:val="1"/>
      </w:pPr>
      <w:r>
        <w:t>Responsables sugeridos.</w:t>
      </w:r>
    </w:p>
    <w:p>
      <w:pPr>
        <w:pStyle w:val="ListBullet"/>
        <w:keepLines w:val="1"/>
        <w:widowControl w:val="1"/>
      </w:pPr>
      <w:r>
        <w:t>Dependencias y sinergias.</w:t>
      </w:r>
    </w:p>
    <w:p>
      <w:pPr>
        <w:pStyle w:val="Heading2"/>
        <w:keepNext/>
        <w:keepLines/>
      </w:pPr>
      <w:r>
        <w:rPr>
          <w:color w:val="0066CC"/>
        </w:rPr>
        <w:t>Diapositiva 10 – Implicaciones de inversión y ROI</w:t>
      </w:r>
    </w:p>
    <w:p>
      <w:pPr>
        <w:pStyle w:val="ListBullet"/>
        <w:keepLines w:val="1"/>
        <w:keepNext w:val="1"/>
        <w:widowControl w:val="1"/>
      </w:pPr>
      <w:r>
        <w:t>Estimación de:</w:t>
      </w:r>
    </w:p>
    <w:p>
      <w:pPr>
        <w:pStyle w:val="ListBullet"/>
        <w:keepLines w:val="1"/>
        <w:keepNext w:val="1"/>
        <w:widowControl w:val="1"/>
      </w:pPr>
      <w:r>
        <w:t>Recursos necesarios (personas, procesos, tecnología).</w:t>
      </w:r>
    </w:p>
    <w:p>
      <w:pPr>
        <w:pStyle w:val="ListBullet"/>
        <w:keepLines w:val="1"/>
        <w:keepNext w:val="1"/>
        <w:widowControl w:val="1"/>
      </w:pPr>
      <w:r>
        <w:t>Beneficios esperados (reducción de incidentes, tiempos de parada, sanciones evitadas).</w:t>
      </w:r>
    </w:p>
    <w:p>
      <w:pPr>
        <w:pStyle w:val="ListBullet"/>
        <w:keepLines w:val="1"/>
        <w:keepNext w:val="1"/>
        <w:widowControl w:val="1"/>
      </w:pPr>
      <w:r>
        <w:t>Mensaje clave:</w:t>
      </w:r>
    </w:p>
    <w:p>
      <w:pPr>
        <w:pStyle w:val="ListBullet"/>
        <w:keepLines w:val="1"/>
        <w:widowControl w:val="1"/>
      </w:pPr>
      <w:r>
        <w:t>La ciberseguridad como inversión en resiliencia, no solo como coste.</w:t>
      </w:r>
    </w:p>
    <w:p>
      <w:pPr>
        <w:pStyle w:val="Heading2"/>
        <w:keepNext/>
        <w:keepLines/>
      </w:pPr>
      <w:r>
        <w:rPr>
          <w:color w:val="0066CC"/>
        </w:rPr>
        <w:t>Diapositiva 11 – Conclusiones y siguiente paso</w:t>
      </w:r>
    </w:p>
    <w:p>
      <w:pPr>
        <w:pStyle w:val="ListBullet"/>
        <w:keepLines w:val="1"/>
        <w:keepNext w:val="1"/>
        <w:widowControl w:val="1"/>
      </w:pPr>
      <w:r>
        <w:t>Mensaje de cierre sobre:</w:t>
      </w:r>
    </w:p>
    <w:p>
      <w:pPr>
        <w:pStyle w:val="ListBullet"/>
        <w:keepLines w:val="1"/>
        <w:keepNext w:val="1"/>
        <w:widowControl w:val="1"/>
      </w:pPr>
      <w:r>
        <w:t>Nivel actual de madurez.</w:t>
      </w:r>
    </w:p>
    <w:p>
      <w:pPr>
        <w:pStyle w:val="ListBullet"/>
        <w:keepLines w:val="1"/>
        <w:keepNext w:val="1"/>
        <w:widowControl w:val="1"/>
      </w:pPr>
      <w:r>
        <w:t>Ambición objetivo.</w:t>
      </w:r>
    </w:p>
    <w:p>
      <w:pPr>
        <w:pStyle w:val="ListBullet"/>
        <w:keepLines w:val="1"/>
        <w:widowControl w:val="1"/>
      </w:pPr>
      <w:r>
        <w:t>Próximo hito (ej. aprobación de roadmap, priorización de proyectos).</w:t>
      </w:r>
    </w:p>
    <w:p>
      <w:pPr>
        <w:pStyle w:val="Heading2"/>
        <w:keepNext/>
        <w:keepLines/>
      </w:pPr>
      <w:r>
        <w:rPr>
          <w:color w:val="0066CC"/>
        </w:rPr>
        <w:t>Diapositiva 12 – Anexos</w:t>
      </w:r>
    </w:p>
    <w:p>
      <w:pPr>
        <w:pStyle w:val="ListBullet"/>
        <w:keepLines w:val="1"/>
        <w:keepNext w:val="1"/>
        <w:widowControl w:val="1"/>
      </w:pPr>
      <w:r>
        <w:t>Detalle de la metodología y escalas.</w:t>
      </w:r>
    </w:p>
    <w:p>
      <w:pPr>
        <w:pStyle w:val="ListBullet"/>
        <w:keepLines w:val="1"/>
        <w:keepNext w:val="1"/>
        <w:widowControl w:val="1"/>
      </w:pPr>
      <w:r>
        <w:t>Tabla de mapeo normativo (extracto del documento de mapeo).</w:t>
      </w:r>
    </w:p>
    <w:p>
      <w:pPr>
        <w:pStyle w:val="ListBullet"/>
        <w:keepLines w:val="1"/>
        <w:widowControl w:val="1"/>
      </w:pPr>
      <w:r>
        <w:t>Notas sobre la interpretación de los resultados.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