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(g) README – Kit de Encuesta SOC 2 – ENS – NIS2 (España 2026)</w:t>
      </w:r>
    </w:p>
    <w:p>
      <w:r>
        <w:t>Bienvenido al kit de encuesta SOC 2 – ENS – NIS2. Este conjunto de archivos está diseñado para ayudarle a evaluar, con rigor y un toque de ironía saludable, el nivel de madurez de ciberseguridad de su organización.</w:t>
      </w:r>
    </w:p>
    <w:p>
      <w:pPr>
        <w:pStyle w:val="Heading2"/>
        <w:keepNext/>
        <w:keepLines/>
      </w:pPr>
      <w:r>
        <w:rPr>
          <w:color w:val="0066CC"/>
        </w:rPr>
        <w:t>Contenido del kit</w:t>
      </w:r>
    </w:p>
    <w:p>
      <w:pPr>
        <w:pStyle w:val="ListBullet"/>
        <w:keepLines w:val="1"/>
        <w:keepNext w:val="1"/>
        <w:widowControl w:val="1"/>
      </w:pPr>
      <w:r>
        <w:t>(a) modelo_encuesta_soc2.md: Cuestionario completo para aplicar a responsables de seguridad, TI, riesgos y dirección.</w:t>
      </w:r>
    </w:p>
    <w:p>
      <w:pPr>
        <w:pStyle w:val="ListBullet"/>
        <w:keepLines w:val="1"/>
        <w:keepNext w:val="1"/>
        <w:widowControl w:val="1"/>
      </w:pPr>
      <w:r>
        <w:t>(b) guia_metodologica_soc2.md: Explica objetivos, población, estructura, escalas y método de cálculo del IGM.</w:t>
      </w:r>
    </w:p>
    <w:p>
      <w:pPr>
        <w:pStyle w:val="ListBullet"/>
        <w:keepLines w:val="1"/>
        <w:keepNext w:val="1"/>
        <w:widowControl w:val="1"/>
      </w:pPr>
      <w:r>
        <w:t>(c) narrativa_explicativa_soc2.md: Relato breve sobre el sentido de la encuesta y cómo leerla en clave de resiliencia.</w:t>
      </w:r>
    </w:p>
    <w:p>
      <w:pPr>
        <w:pStyle w:val="ListBullet"/>
        <w:keepLines w:val="1"/>
        <w:keepNext w:val="1"/>
        <w:widowControl w:val="1"/>
      </w:pPr>
      <w:r>
        <w:t>(d) mapeo_preguntas_normativa_soc2.md: Tabla que conecta cada bloque de preguntas con SOC 2, ENS, NIS2 y RGPD.</w:t>
      </w:r>
    </w:p>
    <w:p>
      <w:pPr>
        <w:pStyle w:val="ListBullet"/>
        <w:keepLines w:val="1"/>
        <w:keepNext w:val="1"/>
        <w:widowControl w:val="1"/>
      </w:pPr>
      <w:r>
        <w:t>(e) plantilla_excel_igm_roi.md: Especificación de una hoja de cálculo para implementar el cálculo del IGM y el ROI.</w:t>
      </w:r>
    </w:p>
    <w:p>
      <w:pPr>
        <w:pStyle w:val="ListBullet"/>
        <w:keepLines w:val="1"/>
        <w:widowControl w:val="1"/>
      </w:pPr>
      <w:r>
        <w:t>(f) plantilla_reporte_ejecutivo_ppt.md: Guion de presentación para exponer resultados ante la alta dirección.</w:t>
      </w:r>
    </w:p>
    <w:p>
      <w:pPr>
        <w:pStyle w:val="Heading2"/>
        <w:keepNext/>
        <w:keepLines/>
      </w:pPr>
      <w:r>
        <w:rPr>
          <w:color w:val="0066CC"/>
        </w:rPr>
        <w:t>Uso recomendado</w:t>
      </w:r>
    </w:p>
    <w:p>
      <w:pPr>
        <w:pStyle w:val="ListNumber"/>
        <w:keepLines w:val="1"/>
        <w:keepNext w:val="1"/>
        <w:widowControl w:val="1"/>
      </w:pPr>
      <w:r>
        <w:t>Personalice el modelo de encuesta para su sector (público, privado, esencial, proveedor, etc.).</w:t>
      </w:r>
    </w:p>
    <w:p>
      <w:pPr>
        <w:pStyle w:val="ListNumber"/>
        <w:keepLines w:val="1"/>
        <w:keepNext w:val="1"/>
        <w:widowControl w:val="1"/>
      </w:pPr>
      <w:r>
        <w:t>Aplique la encuesta a los responsables adecuados, idealmente en sesiones conjuntas entre seguridad, TI, negocio y cumplimiento.</w:t>
      </w:r>
    </w:p>
    <w:p>
      <w:pPr>
        <w:pStyle w:val="ListNumber"/>
        <w:keepLines w:val="1"/>
        <w:keepNext w:val="1"/>
        <w:widowControl w:val="1"/>
      </w:pPr>
      <w:r>
        <w:t>Consolide las respuestas en la plantilla de Excel sugerida para obtener subíndices e IGM.</w:t>
      </w:r>
    </w:p>
    <w:p>
      <w:pPr>
        <w:pStyle w:val="ListNumber"/>
        <w:keepLines w:val="1"/>
        <w:keepNext w:val="1"/>
        <w:widowControl w:val="1"/>
      </w:pPr>
      <w:r>
        <w:t>Calcule el IGM y, si procede, el ROI de las inversiones en ciberseguridad asociadas a las mejoras propuestas.</w:t>
      </w:r>
    </w:p>
    <w:p>
      <w:pPr>
        <w:pStyle w:val="ListNumber"/>
        <w:keepLines w:val="1"/>
        <w:keepNext w:val="1"/>
        <w:widowControl w:val="1"/>
      </w:pPr>
      <w:r>
        <w:t>Presente los resultados a la dirección usando la plantilla de reporte ejecutivo, enfatizando riesgos, beneficios y prioridades.</w:t>
      </w:r>
    </w:p>
    <w:p>
      <w:pPr>
        <w:pStyle w:val="ListNumber"/>
        <w:keepLines w:val="1"/>
        <w:widowControl w:val="1"/>
      </w:pPr>
      <w:r>
        <w:t>Defina un roadmap de mejora respaldado por datos, mapeado a SOC 2, ENS y NIS2, y con un relato entendible para negocio.</w:t>
      </w:r>
    </w:p>
    <w:p>
      <w:r>
        <w:t>Si duda entre marcar la opción "tenemos un proceso magnífico" o "vivimos de gestas heroicas", elija la que mejor represente su día a día: la encuesta está de su lado, no en su contra.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