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Narrativa Explicativa – Encuesta VAST Nacional</w:t>
      </w:r>
    </w:p>
    <w:p>
      <w:r>
        <w:t>Porque las métricas sin relato son como logs sin SIEM: ruido con pretensiones de poesía.</w:t>
      </w:r>
    </w:p>
    <w:p>
      <w:pPr>
        <w:pStyle w:val="Heading2"/>
        <w:keepNext/>
        <w:keepLines/>
      </w:pPr>
      <w:r>
        <w:rPr>
          <w:color w:val="0066CC"/>
        </w:rPr>
        <w:t>1. Por qué esta encuesta</w:t>
      </w:r>
    </w:p>
    <w:p>
      <w:r>
        <w:t>En los últimos años, la ciberseguridad ha dejado de ser una conversación exclusiva de técnicos para convertirse en un tema de consejo de administración y de titulares. La transposición de NIS2, la aplicación de DORA, la actualización del ENS y la creciente dependencia digital hacen que las decisiones sobre prevención, detección y respuesta ya no puedan tomarse a base de intuición y “corazonadas” bienintencionadas.</w:t>
      </w:r>
    </w:p>
    <w:p>
      <w:r>
        <w:t>Esta encuesta nace para poner orden en ese debate: medir con cierto rigor el grado de madurez de las organizaciones españolas en modelado de amenazas y métricas de ciberseguridad. No para repartir medallas ni señalar con el dedo, sino para saber dónde estamos, qué nos falta y qué merece la pena impulsar.</w:t>
      </w:r>
    </w:p>
    <w:p>
      <w:pPr>
        <w:pStyle w:val="Heading2"/>
        <w:keepNext/>
        <w:keepLines/>
      </w:pPr>
      <w:r>
        <w:rPr>
          <w:color w:val="0066CC"/>
        </w:rPr>
        <w:t>2. Qué se entiende por enfoque “VAST”</w:t>
      </w:r>
    </w:p>
    <w:p>
      <w:r>
        <w:t>VAST (Visual, Agile, Simple Threat) es una forma de recordar que el modelado de amenazas no tiene por qué ser un ejercicio esotérico reservado a gurús de pizarras llenas de flechas. La idea es:</w:t>
      </w:r>
    </w:p>
    <w:p>
      <w:pPr>
        <w:pStyle w:val="ListBullet"/>
        <w:keepLines w:val="1"/>
        <w:keepNext w:val="1"/>
        <w:widowControl w:val="1"/>
      </w:pPr>
      <w:r>
        <w:t>Visual: entender sistemas y procesos a través de diagramas claros, que puedan mirar desarrollo, operaciones y negocio sin perderse.</w:t>
      </w:r>
    </w:p>
    <w:p>
      <w:pPr>
        <w:pStyle w:val="ListBullet"/>
        <w:keepLines w:val="1"/>
        <w:keepNext w:val="1"/>
        <w:widowControl w:val="1"/>
      </w:pPr>
      <w:r>
        <w:t>Agile: integrar el análisis de amenazas en ciclos ágiles de desarrollo y despliegue, sin paralizar proyectos ni convertir la seguridad en el departamento del “no”.</w:t>
      </w:r>
    </w:p>
    <w:p>
      <w:pPr>
        <w:pStyle w:val="ListBullet"/>
        <w:keepLines w:val="1"/>
        <w:widowControl w:val="1"/>
      </w:pPr>
      <w:r>
        <w:t>Simple: lo justo de sofisticación para ser útil y repetible, sin exigir doctorados en criptografía aplicada a cada sprint.</w:t>
      </w:r>
    </w:p>
    <w:p>
      <w:r>
        <w:t>La encuesta no pretende verificar quién implementa el VAST más puro del planeta, sino quién ha conseguido llevar el espíritu de ese enfoque (visual, integrado, pragmático) al día a día de su gestión de ciber riesgos.</w:t>
      </w:r>
    </w:p>
    <w:p>
      <w:pPr>
        <w:pStyle w:val="Heading2"/>
        <w:keepNext/>
        <w:keepLines/>
      </w:pPr>
      <w:r>
        <w:rPr>
          <w:color w:val="0066CC"/>
        </w:rPr>
        <w:t>3. Qué mide la encuesta (más allá de los checklists)</w:t>
      </w:r>
    </w:p>
    <w:p>
      <w:r>
        <w:t>La encuesta recorre desde la capa más política hasta la más operativa:</w:t>
      </w:r>
    </w:p>
    <w:p>
      <w:pPr>
        <w:pStyle w:val="ListBullet"/>
        <w:keepLines w:val="1"/>
        <w:keepNext w:val="1"/>
        <w:widowControl w:val="1"/>
      </w:pPr>
      <w:r>
        <w:t>Gobernanza y cumplimiento: quién manda aquí, qué marcos seguimos y si tenemos una estrategia algo más sólida que un PDF olvidado.</w:t>
      </w:r>
    </w:p>
    <w:p>
      <w:pPr>
        <w:pStyle w:val="ListBullet"/>
        <w:keepLines w:val="1"/>
        <w:keepNext w:val="1"/>
        <w:widowControl w:val="1"/>
      </w:pPr>
      <w:r>
        <w:t>Inventario y superficie de ataque: qué tenemos, dónde está y qué está expuesto (en serio, no solo lo que recordamos).</w:t>
      </w:r>
    </w:p>
    <w:p>
      <w:pPr>
        <w:pStyle w:val="ListBullet"/>
        <w:keepLines w:val="1"/>
        <w:keepNext w:val="1"/>
        <w:widowControl w:val="1"/>
      </w:pPr>
      <w:r>
        <w:t>Modelado de amenazas: si miramos nuestros sistemas desde los ojos de un adversario o seguimos confiando en que nadie se fijará en nosotros.</w:t>
      </w:r>
    </w:p>
    <w:p>
      <w:pPr>
        <w:pStyle w:val="ListBullet"/>
        <w:keepLines w:val="1"/>
        <w:keepNext w:val="1"/>
        <w:widowControl w:val="1"/>
      </w:pPr>
      <w:r>
        <w:t>Métricas y riesgo: qué medimos, cómo lo explicamos al negocio y si hablamos de euros o de adjetivos.</w:t>
      </w:r>
    </w:p>
    <w:p>
      <w:pPr>
        <w:pStyle w:val="ListBullet"/>
        <w:keepLines w:val="1"/>
        <w:keepNext w:val="1"/>
        <w:widowControl w:val="1"/>
      </w:pPr>
      <w:r>
        <w:t>Vulnerabilidades, terceros y cadena de suministro: porque hoy en día fallar por un proveedor despistado es casi un clásico literario.</w:t>
      </w:r>
    </w:p>
    <w:p>
      <w:pPr>
        <w:pStyle w:val="ListBullet"/>
        <w:keepLines w:val="1"/>
        <w:keepNext w:val="1"/>
        <w:widowControl w:val="1"/>
      </w:pPr>
      <w:r>
        <w:t>Respuesta, continuidad y resiliencia: qué hacemos cuando lo inevitable sucede y cuánto tardamos en dejar de improvisar.</w:t>
      </w:r>
    </w:p>
    <w:p>
      <w:pPr>
        <w:pStyle w:val="ListBullet"/>
        <w:keepLines w:val="1"/>
        <w:keepNext w:val="1"/>
        <w:widowControl w:val="1"/>
      </w:pPr>
      <w:r>
        <w:t>Talento y cultura: cuánta gente sabe de esto, cuánta quiere seguir sabiéndolo y cuánto porcentaje se nos va a la competencia.</w:t>
      </w:r>
    </w:p>
    <w:p>
      <w:pPr>
        <w:pStyle w:val="ListBullet"/>
        <w:keepLines w:val="1"/>
        <w:widowControl w:val="1"/>
      </w:pPr>
      <w:r>
        <w:t>Visión de futuro: dónde pensamos invertir, si queda presupuesto y paciencia.</w:t>
      </w:r>
    </w:p>
    <w:p>
      <w:pPr>
        <w:pStyle w:val="Heading2"/>
        <w:keepNext/>
        <w:keepLines/>
      </w:pPr>
      <w:r>
        <w:rPr>
          <w:color w:val="0066CC"/>
        </w:rPr>
        <w:t>4. Para quién está pensada</w:t>
      </w:r>
    </w:p>
    <w:p>
      <w:r>
        <w:t>La encuesta está dirigida a organizaciones que:</w:t>
      </w:r>
    </w:p>
    <w:p>
      <w:pPr>
        <w:pStyle w:val="ListBullet"/>
        <w:keepLines w:val="1"/>
        <w:keepNext w:val="1"/>
        <w:widowControl w:val="1"/>
      </w:pPr>
      <w:r>
        <w:t>Tienen un mínimo de responsabilidad sobre servicios esenciales, información sensible o procesos de alto impacto.</w:t>
      </w:r>
    </w:p>
    <w:p>
      <w:pPr>
        <w:pStyle w:val="ListBullet"/>
        <w:keepLines w:val="1"/>
        <w:keepNext w:val="1"/>
        <w:widowControl w:val="1"/>
      </w:pPr>
      <w:r>
        <w:t>Han pasado ya la fase de “esto de la ciberseguridad es cosa del informático” y la han convertido en un asunto de dirección.</w:t>
      </w:r>
    </w:p>
    <w:p>
      <w:pPr>
        <w:pStyle w:val="ListBullet"/>
        <w:keepLines w:val="1"/>
        <w:widowControl w:val="1"/>
      </w:pPr>
      <w:r>
        <w:t>Entienden que admitir debilidades en una encuesta es menos doloroso que descubrirlas en portada de periódico.</w:t>
      </w:r>
    </w:p>
    <w:p>
      <w:r>
        <w:t>No es un examen escolar. No hay aprobados y suspensos, solo grados de sinceridad y capacidad de mejora.</w:t>
      </w:r>
    </w:p>
    <w:p>
      <w:pPr>
        <w:pStyle w:val="Heading2"/>
        <w:keepNext/>
        <w:keepLines/>
      </w:pPr>
      <w:r>
        <w:rPr>
          <w:color w:val="0066CC"/>
        </w:rPr>
        <w:t>5. Cómo leer los resultados (sin autoengaños)</w:t>
      </w:r>
    </w:p>
    <w:p>
      <w:pPr>
        <w:pStyle w:val="Heading3"/>
        <w:keepNext/>
        <w:keepLines/>
      </w:pPr>
      <w:r>
        <w:t>5.1. El Índice Global de Madurez (IGM)</w:t>
      </w:r>
    </w:p>
    <w:p>
      <w:r>
        <w:t>El IGM es un intento de condensar en un número el estado de madurez de una organización. No es un oráculo ni una sentencia divina: es un indicador sintético que ayuda a comparar:</w:t>
      </w:r>
    </w:p>
    <w:p>
      <w:pPr>
        <w:pStyle w:val="ListBullet"/>
        <w:keepLines w:val="1"/>
        <w:keepNext w:val="1"/>
        <w:widowControl w:val="1"/>
      </w:pPr>
      <w:r>
        <w:t>Su organización consigo misma en el tiempo.</w:t>
      </w:r>
    </w:p>
    <w:p>
      <w:pPr>
        <w:pStyle w:val="ListBullet"/>
        <w:keepLines w:val="1"/>
        <w:keepNext w:val="1"/>
        <w:widowControl w:val="1"/>
      </w:pPr>
      <w:r>
        <w:t>Su organización con otras de su mismo sector y tamaño.</w:t>
      </w:r>
    </w:p>
    <w:p>
      <w:pPr>
        <w:pStyle w:val="ListBullet"/>
        <w:keepLines w:val="1"/>
        <w:widowControl w:val="1"/>
      </w:pPr>
      <w:r>
        <w:t>El estado global de un sector frente a otros.</w:t>
      </w:r>
    </w:p>
    <w:p>
      <w:r>
        <w:t>Un IGM bajo no significa “irresponsabilidad”, sino margen de mejora (y, probablemente, carencias de recursos o de foco estratégico). Un IGM alto no garantiza invulnerabilidad, pero sugiere que las batallas se están librando con algo más que buena voluntad.</w:t>
      </w:r>
    </w:p>
    <w:p>
      <w:pPr>
        <w:pStyle w:val="Heading3"/>
        <w:keepNext/>
        <w:keepLines/>
      </w:pPr>
      <w:r>
        <w:t>5.2. Los bloques de madurez</w:t>
      </w:r>
    </w:p>
    <w:p>
      <w:r>
        <w:t>La gracia está en mirar el detalle:</w:t>
      </w:r>
    </w:p>
    <w:p>
      <w:pPr>
        <w:pStyle w:val="ListBullet"/>
        <w:keepLines w:val="1"/>
        <w:keepNext w:val="1"/>
        <w:widowControl w:val="1"/>
      </w:pPr>
      <w:r>
        <w:t>Una organización puede estar fuerte en detección y respuesta, pero débil en modelado de amenazas (reacciona bien, pero anticipa poco).</w:t>
      </w:r>
    </w:p>
    <w:p>
      <w:pPr>
        <w:pStyle w:val="ListBullet"/>
        <w:keepLines w:val="1"/>
        <w:keepNext w:val="1"/>
        <w:widowControl w:val="1"/>
      </w:pPr>
      <w:r>
        <w:t>Otra puede tener un gobierno impecable en papel, pero métricas pobres y poco diálogo con negocio (mucho marco, poca práctica).</w:t>
      </w:r>
    </w:p>
    <w:p>
      <w:pPr>
        <w:pStyle w:val="ListBullet"/>
        <w:keepLines w:val="1"/>
        <w:widowControl w:val="1"/>
      </w:pPr>
      <w:r>
        <w:t>Otra puede tener buen talento técnico pero nula capacidad de traducir sus hallazgos a impacto de negocio.</w:t>
      </w:r>
    </w:p>
    <w:p>
      <w:r>
        <w:t>El objetivo no es “subir todas las barritas” a la vez, sino identificar qué bloques son cuellos de botella.</w:t>
      </w:r>
    </w:p>
    <w:p>
      <w:pPr>
        <w:pStyle w:val="Heading2"/>
        <w:keepNext/>
        <w:keepLines/>
      </w:pPr>
      <w:r>
        <w:rPr>
          <w:color w:val="0066CC"/>
        </w:rPr>
        <w:t>6. Sobre el ROI, la paciencia y los nervios</w:t>
      </w:r>
    </w:p>
    <w:p>
      <w:r>
        <w:t>Hablar de ROI en ciberseguridad siempre genera esa mezcla de fascinación y sospecha. La encuesta y sus plantillas asociadas proponen una forma moderadamente razonable de estimar:</w:t>
      </w:r>
    </w:p>
    <w:p>
      <w:pPr>
        <w:pStyle w:val="ListBullet"/>
        <w:keepLines w:val="1"/>
        <w:keepNext w:val="1"/>
        <w:widowControl w:val="1"/>
      </w:pPr>
      <w:r>
        <w:t>Cuánto costarían incidentes sin ciertas medidas.</w:t>
      </w:r>
    </w:p>
    <w:p>
      <w:pPr>
        <w:pStyle w:val="ListBullet"/>
        <w:keepLines w:val="1"/>
        <w:keepNext w:val="1"/>
        <w:widowControl w:val="1"/>
      </w:pPr>
      <w:r>
        <w:t>Cuánto se ha reducido esa probabilidad o impacto gracias a las inversiones.</w:t>
      </w:r>
    </w:p>
    <w:p>
      <w:pPr>
        <w:pStyle w:val="ListBullet"/>
        <w:keepLines w:val="1"/>
        <w:widowControl w:val="1"/>
      </w:pPr>
      <w:r>
        <w:t>Qué parte de esas inversiones se justifica (o no) a la luz de los datos.</w:t>
      </w:r>
    </w:p>
    <w:p>
      <w:r>
        <w:t>No se trata de prometer que cada euro invertido se transformará en brillantes ahorros medibles, sino de evitar la situación en la que:</w:t>
      </w:r>
    </w:p>
    <w:p>
      <w:pPr>
        <w:pStyle w:val="ListBullet"/>
        <w:keepLines w:val="1"/>
        <w:keepNext w:val="1"/>
        <w:widowControl w:val="1"/>
      </w:pPr>
      <w:r>
        <w:t>Se invierte mucho sin ver mejoras claras.</w:t>
      </w:r>
    </w:p>
    <w:p>
      <w:pPr>
        <w:pStyle w:val="ListBullet"/>
        <w:keepLines w:val="1"/>
        <w:widowControl w:val="1"/>
      </w:pPr>
      <w:r>
        <w:t>O se invierte poco y se espera un milagro permanente.</w:t>
      </w:r>
    </w:p>
    <w:p>
      <w:pPr>
        <w:pStyle w:val="Heading2"/>
        <w:keepNext/>
        <w:keepLines/>
      </w:pPr>
      <w:r>
        <w:rPr>
          <w:color w:val="0066CC"/>
        </w:rPr>
        <w:t>7. Qué hacer después de responder</w:t>
      </w:r>
    </w:p>
    <w:p>
      <w:r>
        <w:t>Lo ideal sería:</w:t>
      </w:r>
    </w:p>
    <w:p>
      <w:pPr>
        <w:pStyle w:val="ListNumber"/>
        <w:keepLines w:val="1"/>
        <w:keepNext w:val="1"/>
        <w:widowControl w:val="1"/>
      </w:pPr>
      <w:r>
        <w:t>Obtener su informe individual: ver el IGM, la posición relativa frente a organismos similares y las áreas de mejora.</w:t>
      </w:r>
    </w:p>
    <w:p>
      <w:pPr>
        <w:pStyle w:val="ListNumber"/>
        <w:keepLines w:val="1"/>
        <w:keepNext w:val="1"/>
        <w:widowControl w:val="1"/>
      </w:pPr>
      <w:r>
        <w:t>Priorizar unas pocas acciones concretas: mejor tres prioridades ejecutables que un plan de 80 medidas que nadie financia.</w:t>
      </w:r>
    </w:p>
    <w:p>
      <w:pPr>
        <w:pStyle w:val="ListNumber"/>
        <w:keepLines w:val="1"/>
        <w:keepNext w:val="1"/>
        <w:widowControl w:val="1"/>
      </w:pPr>
      <w:r>
        <w:t>Conectar la discusión con negocio: traducir “tenemos un THR bajo” a “la probabilidad de interrupción de este servicio crítico es inaceptable para nuestros objetivos”.</w:t>
      </w:r>
    </w:p>
    <w:p>
      <w:pPr>
        <w:pStyle w:val="ListNumber"/>
        <w:keepLines w:val="1"/>
        <w:widowControl w:val="1"/>
      </w:pPr>
      <w:r>
        <w:t>Repetir la encuesta cada cierto tiempo: la madurez no se mejora por inspiración, sino por iteración.</w:t>
      </w:r>
    </w:p>
    <w:p>
      <w:pPr>
        <w:pStyle w:val="Heading2"/>
        <w:keepNext/>
        <w:keepLines/>
      </w:pPr>
      <w:r>
        <w:rPr>
          <w:color w:val="0066CC"/>
        </w:rPr>
        <w:t>8. Epílogo (breve, lo prometo)</w:t>
      </w:r>
    </w:p>
    <w:p>
      <w:r>
        <w:t>Si al terminar la encuesta siente que “lo estamos haciendo mejor de lo que pensaba”, enhorabuena: tiene razones para convencer a la organización de que siga por ahí.</w:t>
      </w:r>
    </w:p>
    <w:p>
      <w:r>
        <w:t>Si siente que “estamos más verdes de lo que imaginaba”, enhorabuena también: ha ganado usted una claridad dolorosa pero útil. A partir de ahí, la conversación con la dirección puede girar de “no tenemos problemas” a “no queremos sorpresas”.</w:t>
      </w:r>
    </w:p>
    <w:p>
      <w:r>
        <w:t>La ciberseguridad perfecta no existe; la transparencia honesta sobre dónde estamos, sí. Y es un punto de partida bastante decente.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