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a Requisitos Normativos y Marcos de Referencia</w:t>
      </w:r>
    </w:p>
    <w:p>
      <w:r>
        <w:t>Nota: este mapeo es orientativo y debe adaptarse al contexto regulatorio concreto de cada organización.</w:t>
      </w:r>
    </w:p>
    <w:p>
      <w:pPr>
        <w:pStyle w:val="Heading2"/>
        <w:keepNext/>
        <w:keepLines/>
      </w:pPr>
      <w:r>
        <w:rPr>
          <w:color w:val="0066CC"/>
        </w:rPr>
        <w:t>Leyenda de marcos</w:t>
      </w:r>
    </w:p>
    <w:p>
      <w:pPr>
        <w:pStyle w:val="ListBullet"/>
        <w:keepLines w:val="1"/>
        <w:keepNext w:val="1"/>
        <w:widowControl w:val="1"/>
      </w:pPr>
      <w:r>
        <w:t>NIS2: Directiva (UE) 2022/2555 y su transposición en España.</w:t>
      </w:r>
    </w:p>
    <w:p>
      <w:pPr>
        <w:pStyle w:val="ListBullet"/>
        <w:keepLines w:val="1"/>
        <w:keepNext w:val="1"/>
        <w:widowControl w:val="1"/>
      </w:pPr>
      <w:r>
        <w:t>DORA: Reglamento (UE) 2022/2554 sobre resiliencia operativa digital.</w:t>
      </w:r>
    </w:p>
    <w:p>
      <w:pPr>
        <w:pStyle w:val="ListBullet"/>
        <w:keepLines w:val="1"/>
        <w:keepNext w:val="1"/>
        <w:widowControl w:val="1"/>
      </w:pPr>
      <w:r>
        <w:t>ENS: Esquema Nacional de Seguridad.</w:t>
      </w:r>
    </w:p>
    <w:p>
      <w:pPr>
        <w:pStyle w:val="ListBullet"/>
        <w:keepLines w:val="1"/>
        <w:keepNext w:val="1"/>
        <w:widowControl w:val="1"/>
      </w:pPr>
      <w:r>
        <w:t>ISO 27001/27002: Sistemas de gestión de seguridad de la información.</w:t>
      </w:r>
    </w:p>
    <w:p>
      <w:pPr>
        <w:pStyle w:val="ListBullet"/>
        <w:keepLines w:val="1"/>
        <w:keepNext w:val="1"/>
        <w:widowControl w:val="1"/>
      </w:pPr>
      <w:r>
        <w:t>NIST CSF: NIST Cybersecurity Framework.</w:t>
      </w:r>
    </w:p>
    <w:p>
      <w:pPr>
        <w:pStyle w:val="ListBullet"/>
        <w:keepLines w:val="1"/>
        <w:widowControl w:val="1"/>
      </w:pPr>
      <w:r>
        <w:t>Otros: normativa sectorial específica (financiera, sanitaria, etc.).</w:t>
      </w:r>
    </w:p>
    <w:p>
      <w:pPr>
        <w:pStyle w:val="Heading2"/>
        <w:keepNext/>
        <w:keepLines/>
      </w:pPr>
      <w:r>
        <w:rPr>
          <w:color w:val="0066CC"/>
        </w:rPr>
        <w:t>Tabla de mapeo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resumido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27001/27002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(función/categoría)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Estrategia formal de ciberseguridad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 (políticas y medidas)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5, 6 (marco de gobernanza)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Principios básico y mínimo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Cl. 5 (Liderazgo), A.5 (Políticas)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ID.GV-1, ID.GV-2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Estrategia como base de gobernanza.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Plan de acción y métricas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21, 23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6, 11 (estrategias y planes)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Planificación de seguridad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Cl. 6 (Planificación), A.5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ID.GV-3, ID.BE-4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Hoja de ruta y objetivos de seguridad.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Marcos de referencia utilizados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Implícito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Implícito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completo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Estructura global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ID.GV-2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Alineamiento multipolar.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Grado de cumplimiento normativo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20–24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4–14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(cumplimiento)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Cl. 9 (Evaluación)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ID.SC-4, ID.RM-1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Autoevaluación del cumplimiento.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Inventario de activos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 (medidas técnicas organizativas)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8 (gestión de TI)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 de organización, Explot.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A.5, A.8 (Inventario de activos)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ID.AM-1, ID.AM-2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Visibilidad de activos.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Clasificación de activos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(clasificación de la info)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A.8 (Clasificación de la información)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ID.AM-2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Criticidad y protección proporcional.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Gestión de superficie de ataque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21, 23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8, 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técnicas (protección)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A.8, A.12, A.13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ID.AM-3, PR.AC-5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Exposición de activos.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Revisión de activos críticos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Revisiones periódicas ENS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Cl. 9, A.12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ID.RA-3, ID.RM-2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Ciclo de revisión.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Aplicación del modelado de amenazas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8, 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(análisis de riesgos)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A.6, A.8, A.12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ID.RA-1, ID.RA-3, PR.IP-3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Evaluación proactiva de amenazas.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Metodologías de modelado de amenazas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(metodologías de análisis)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A.6 (Planificación de riesgos)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ID.RA-1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Adopción de marcos estructurados.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Cobertura de modelos de amenazas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21, 23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8, 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(alcance de medidas)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A.8, A.12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ID.RA-3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Porcentaje de sistemas analizados.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Frecuencia de actualización de modelos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21, 23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(revisión periódica)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Cl. 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ID.RA-3, PR.IP-7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Dinamismo vs. foto fija.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Integración en SDLC y CI/CD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8, 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(seguridad en desarrollo)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A.14 (Seguridad en desarrollo y soporte)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PR.IP-3, PR.IP-8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DevSecOps y automatización.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Participación de áreas en modelado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21, 24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5, 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(organización de seguridad)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 (Organización interna)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ID.GV-1, PR.AT-3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Colaboración multidisciplinar.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Comunicación de resultados de amenazas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23, 24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(documentación, informes)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Cl. 7, A.5, A.16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RS.CO-1, RS.CO-2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Lenguaje para negocio y TI.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Métricas técnicas monitorizadas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21, 23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(monitorización)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A.12, A.16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DE.CM-1, PR.MA-1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Base para indicadores operativos.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SLAs / SLOs de detección y respuesta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21, 23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(gestión de incidentes)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A.12, A.16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DE.CM-4, RS.RP-1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Compromisos de rendimiento.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Cuantificación económica del riesgo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6, 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(análisis de riesgos)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Cl. 6, Cl. 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ID.RM-1, ID.RM-2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VaR, pérdidas estimadas.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Reporting al Consejo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20,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5, 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(responsabilidad de dirección)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Cl. 5 (Liderazgo)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ID.GV-1, ID.GV-3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Responsabilidad de la alta dirección.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Indicadores reportados a la alta dirección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20–24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6, 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(seguimiento y control)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Cl. 9, Cl. 10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ID.RM-1, RS.CO-2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Contenido del reporting.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Herramientas de gestión de vulnerabilidades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21, 23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8, 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(protección de sistemas)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A.12, A.13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PR.IP-12, DE.CM-8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Capacidades técnicas.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Tiempo de remediación de vulnerabilidades críticas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(criterios de seguridad)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A.12, A.13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PR.IP-12, RS.MI-1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Plazo de corrección y prioridades.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Atención a vulnerabilidades explotadas activamente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21, 23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(gestión de amenazas)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A.12, A.16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DE.CM-1, ID.RA-1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Cruce con inteligencia de amenazas.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Evaluación de riesgos de terceros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21, 23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28 (proveedores TIC críticos)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(relación con terceros)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A.15 (Relaciones con proveedores)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ID.SC-3, PR.AT-3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Cadena de suministro.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Cláusulas de ciberseguridad en contratos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21, 23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(contratación)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ID.SC-3, PR.AT-3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Requisitos contractuales.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Plan de respuesta a incidentes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23, 24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(respuesta a incidentes)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A.16 (Gestión de incidentes)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RS.RP-1, RS.RP-2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Preparación formal.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Notificación a autoridades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23, 30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(comunicación de incidentes)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RS.CO-1, RS.CO-2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Obligaciones de notificación.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Planes de continuidad y DR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11, 15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(operación continua)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A.17 (Aspectos de continuidad)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PR.IP-9, RC.IM-1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Resiliencia operativa.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Definición de RTO y RPO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11, 15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(continuidad)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PR.IP-9, RC.RP-1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Objetivos de recuperación.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Dotación de personal de ciberseguridad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20,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5, 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(recursos)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Cl. 7, A.7 (Recursos humanos)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ID.GV-2, PR.AT-4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Capacidades internas.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Dificultades para cubrir puestos de ciberseguridad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(recursos)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Cl. 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ID.GV-2, PR.AT-4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Brecha de talento.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Concienciación de empleados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(sensibilización)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A.6, A.7 (Concienciación)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PR.AT-1, PR.AT-2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Cultura de seguridad.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Formación en modelado de amenazas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6, 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(formación específica)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A.6, A.7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PR.AT-3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Capacidad analítica avanzada.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Prioridades de inversión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21, 23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(planificación)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Cl. 6, Cl. 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ID.RM-1, PR.IP-1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Alineamiento de recursos.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Percepción del modelado de amenazas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8, 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(análisis de riesgos)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ID.RA-1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Cultura sobre el enfoque.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Interés en iniciativas sectoriales/nacionales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21, 23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4, 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(colaboración)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Cl. 4, Cl. 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ID.BE-4, RS.CO-3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Cooperación e intercambio.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P37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Comentarios abiertos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No directo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No directo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No directo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Cl. 9 (Mejora continua)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Todas (insights cualitativos)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Insumos para mejora normativa.</w:t>
            </w:r>
          </w:p>
        </w:tc>
      </w:tr>
    </w:tbl>
    <w:p/>
    <w:p>
      <w:r>
        <w:t>Este mapeo puede expandirse con referencias más precisas (artículos concretos del ENS, guías CCN, etc.) en futuras versiones.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