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VAST Nacionales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Este kit complementa la encuesta VAST nacional con un marco estructurado de objetivos, métricas y evaluación de calidad:</w:t>
      </w:r>
    </w:p>
    <w:p>
      <w:pPr>
        <w:pStyle w:val="ListNumber"/>
        <w:keepLines w:val="1"/>
        <w:keepNext w:val="1"/>
        <w:widowControl w:val="1"/>
      </w:pPr>
      <w:r>
        <w:t>marco_gqm_pragmatic.md – Definición del marco integrativo GQM + PRAGMATIC.</w:t>
      </w:r>
    </w:p>
    <w:p>
      <w:pPr>
        <w:pStyle w:val="ListNumber"/>
        <w:keepLines w:val="1"/>
        <w:keepNext w:val="1"/>
        <w:widowControl w:val="1"/>
      </w:pPr>
      <w:r>
        <w:t>matriz_pragmatic_completa.md – Tabla de evaluación PRAGMATIC de las principales métricas.</w:t>
      </w:r>
    </w:p>
    <w:p>
      <w:pPr>
        <w:pStyle w:val="ListNumber"/>
        <w:keepLines w:val="1"/>
        <w:keepNext w:val="1"/>
        <w:widowControl w:val="1"/>
      </w:pPr>
      <w:r>
        <w:t>narrativa_gqm_pragmatic.md – Relato explicativo para contextualizar el uso del marco.</w:t>
      </w:r>
    </w:p>
    <w:p>
      <w:pPr>
        <w:pStyle w:val="ListNumber"/>
        <w:keepLines w:val="1"/>
        <w:keepNext w:val="1"/>
        <w:widowControl w:val="1"/>
      </w:pPr>
      <w:r>
        <w:t>mapeo_preguntas_normativa_gqm.md – Mapeo de objetivos/métricas a marcos normativos (NIS2, DORA, ENS, ISO, NIST CSF).</w:t>
      </w:r>
    </w:p>
    <w:p>
      <w:pPr>
        <w:pStyle w:val="ListNumber"/>
        <w:keepLines w:val="1"/>
        <w:keepNext w:val="1"/>
        <w:widowControl w:val="1"/>
      </w:pPr>
      <w:r>
        <w:t>plantilla_excel_gqm_pragmatic.md – Estructura sugerida de Excel para gestionar métricas GQM + PRAGMATIC, IGM y ROI.</w:t>
      </w:r>
    </w:p>
    <w:p>
      <w:pPr>
        <w:pStyle w:val="ListNumber"/>
        <w:keepLines w:val="1"/>
        <w:widowControl w:val="1"/>
      </w:pPr>
      <w:r>
        <w:t>plantilla_reporte_ejecutivo_gqm.md – Guion de presentación ejecutiva para comunicar el marco y resultados.</w:t>
      </w:r>
    </w:p>
    <w:p>
      <w:pPr>
        <w:pStyle w:val="Heading2"/>
        <w:keepNext/>
        <w:keepLines/>
      </w:pPr>
      <w:r>
        <w:rPr>
          <w:color w:val="0066CC"/>
        </w:rPr>
        <w:t>2. Cómo utilizar este kit</w:t>
      </w:r>
    </w:p>
    <w:p>
      <w:pPr>
        <w:pStyle w:val="ListNumber"/>
        <w:keepLines w:val="1"/>
        <w:keepNext w:val="1"/>
        <w:widowControl w:val="1"/>
      </w:pPr>
      <w:r>
        <w:t>Acordar objetivos (G) a nivel nacional o sectorial, usando el documento de marco como base.</w:t>
      </w:r>
    </w:p>
    <w:p>
      <w:pPr>
        <w:pStyle w:val="ListNumber"/>
        <w:keepLines w:val="1"/>
        <w:keepNext w:val="1"/>
        <w:widowControl w:val="1"/>
      </w:pPr>
      <w:r>
        <w:t>Validar el catálogo de métricas (M) y la matriz PRAGMATIC con un grupo de expertos (CISOs, reguladores, analistas de riesgo).</w:t>
      </w:r>
    </w:p>
    <w:p>
      <w:pPr>
        <w:pStyle w:val="ListNumber"/>
        <w:keepLines w:val="1"/>
        <w:keepNext w:val="1"/>
        <w:widowControl w:val="1"/>
      </w:pPr>
      <w:r>
        <w:t>Implementar la plantilla Excel para consolidar datos de encuesta, calcular IGM y analizar la calidad de métricas.</w:t>
      </w:r>
    </w:p>
    <w:p>
      <w:pPr>
        <w:pStyle w:val="ListNumber"/>
        <w:keepLines w:val="1"/>
        <w:keepNext w:val="1"/>
        <w:widowControl w:val="1"/>
      </w:pPr>
      <w:r>
        <w:t>Utilizar el mapeo normativo para justificar la pertinencia de las métricas ante auditorías y supervisores.</w:t>
      </w:r>
    </w:p>
    <w:p>
      <w:pPr>
        <w:pStyle w:val="ListNumber"/>
        <w:keepLines w:val="1"/>
        <w:widowControl w:val="1"/>
      </w:pPr>
      <w:r>
        <w:t>Apoyarse en el reporte ejecutivo para explicar a la alta dirección por qué se han elegido esas métricas y qué decisiones habilitan.</w:t>
      </w:r>
    </w:p>
    <w:p>
      <w:pPr>
        <w:pStyle w:val="Heading2"/>
        <w:keepNext/>
        <w:keepLines/>
      </w:pPr>
      <w:r>
        <w:rPr>
          <w:color w:val="0066CC"/>
        </w:rPr>
        <w:t>3. Personalización</w:t>
      </w:r>
    </w:p>
    <w:p>
      <w:pPr>
        <w:pStyle w:val="ListBullet"/>
        <w:keepLines w:val="1"/>
        <w:keepNext w:val="1"/>
        <w:widowControl w:val="1"/>
      </w:pPr>
      <w:r>
        <w:t>Los objetivos G1–G6 pueden ampliarse o refinarse para sectores concretos (sanidad, energía, finanzas, sector público…).</w:t>
      </w:r>
    </w:p>
    <w:p>
      <w:pPr>
        <w:pStyle w:val="ListBullet"/>
        <w:keepLines w:val="1"/>
        <w:keepNext w:val="1"/>
        <w:widowControl w:val="1"/>
      </w:pPr>
      <w:r>
        <w:t>Las puntuaciones PRAGMATIC son orientativas; es recomendable revisarlas periódicamente según experiencia.</w:t>
      </w:r>
    </w:p>
    <w:p>
      <w:pPr>
        <w:pStyle w:val="ListBullet"/>
        <w:keepLines w:val="1"/>
        <w:widowControl w:val="1"/>
      </w:pPr>
      <w:r>
        <w:t>Se pueden introducir pesos adicionales para criterios PRAGMATIC según las prioridades (por ejemplo, enfatizar la “Accionabilidad” y la “Rentabilidad”).</w:t>
      </w:r>
    </w:p>
    <w:p>
      <w:pPr>
        <w:pStyle w:val="Heading2"/>
        <w:keepNext/>
        <w:keepLines/>
      </w:pPr>
      <w:r>
        <w:rPr>
          <w:color w:val="0066CC"/>
        </w:rPr>
        <w:t>4. Buenas prácticas</w:t>
      </w:r>
    </w:p>
    <w:p>
      <w:pPr>
        <w:pStyle w:val="ListBullet"/>
        <w:keepLines w:val="1"/>
        <w:keepNext w:val="1"/>
        <w:widowControl w:val="1"/>
      </w:pPr>
      <w:r>
        <w:t>Mantener el catálogo de métricas manejable; priorizar calidad sobre cantidad.</w:t>
      </w:r>
    </w:p>
    <w:p>
      <w:pPr>
        <w:pStyle w:val="ListBullet"/>
        <w:keepLines w:val="1"/>
        <w:keepNext w:val="1"/>
        <w:widowControl w:val="1"/>
      </w:pPr>
      <w:r>
        <w:t>Documentar cualquier cambio en definiciones de métricas para preservar comparabilidad temporal.</w:t>
      </w:r>
    </w:p>
    <w:p>
      <w:pPr>
        <w:pStyle w:val="ListBullet"/>
        <w:keepLines w:val="1"/>
        <w:widowControl w:val="1"/>
      </w:pPr>
      <w:r>
        <w:t>Comunicar de forma transparente el uso que se hará de los datos: diagnóstico y mejora, no caza de brujas.</w:t>
      </w:r>
    </w:p>
    <w:p>
      <w:pPr>
        <w:pStyle w:val="Heading2"/>
        <w:keepNext/>
        <w:keepLines/>
      </w:pPr>
      <w:r>
        <w:rPr>
          <w:color w:val="0066CC"/>
        </w:rPr>
        <w:t>5. Próximos pasos sugeridos</w:t>
      </w:r>
    </w:p>
    <w:p>
      <w:pPr>
        <w:pStyle w:val="ListNumber"/>
        <w:keepLines w:val="1"/>
        <w:keepNext w:val="1"/>
        <w:widowControl w:val="1"/>
      </w:pPr>
      <w:r>
        <w:t>Lanzar un piloto con un pequeño conjunto de organizaciones voluntarias.</w:t>
      </w:r>
    </w:p>
    <w:p>
      <w:pPr>
        <w:pStyle w:val="ListNumber"/>
        <w:keepLines w:val="1"/>
        <w:keepNext w:val="1"/>
        <w:widowControl w:val="1"/>
      </w:pPr>
      <w:r>
        <w:t>Recoger feedback sobre dificultades de medición y carga de trabajo.</w:t>
      </w:r>
    </w:p>
    <w:p>
      <w:pPr>
        <w:pStyle w:val="ListNumber"/>
        <w:keepLines w:val="1"/>
        <w:keepNext w:val="1"/>
        <w:widowControl w:val="1"/>
      </w:pPr>
      <w:r>
        <w:t>Ajustar métricas, periodicidad y puntuaciones PRAGMATIC.</w:t>
      </w:r>
    </w:p>
    <w:p>
      <w:pPr>
        <w:pStyle w:val="ListNumber"/>
        <w:keepLines w:val="1"/>
        <w:widowControl w:val="1"/>
      </w:pPr>
      <w:r>
        <w:t>A partir de ahí, planificar el despliegue a mayor escala.</w:t>
      </w:r>
    </w:p>
    <w:p>
      <w:r>
        <w:t>Este kit pretende, en suma, que cada número que aparezca en un informe de ciberseguridad tenga una razón de ser, una pregunta a la que responde y una decisión que ayuda a tomar.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