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OCTAVE Nacional</w:t>
      </w:r>
    </w:p>
    <w:p>
      <w:r>
        <w:t>Cómo utilizar la encuesta para medir madurez, riesgo y retorno de la inversión en ciberseguridad con un mínimo de rigor y un máximo de utilidad.</w:t>
      </w:r>
    </w:p>
    <w:p>
      <w:pPr>
        <w:pStyle w:val="Heading2"/>
        <w:keepNext/>
        <w:keepLines/>
      </w:pPr>
      <w:r>
        <w:rPr>
          <w:color w:val="0066CC"/>
        </w:rPr>
        <w:t>1. Objetivos de la encuesta</w:t>
      </w:r>
    </w:p>
    <w:p>
      <w:r>
        <w:t>La encuesta OCTAVE Nacional tiene tres objetivos principales:</w:t>
      </w:r>
    </w:p>
    <w:p>
      <w:pPr>
        <w:pStyle w:val="ListNumber"/>
        <w:keepLines w:val="1"/>
        <w:keepNext w:val="1"/>
        <w:widowControl w:val="1"/>
      </w:pPr>
      <w:r>
        <w:t>Caracterizar la madurez de ciberseguridad de organizaciones españolas (especialmente operadores esenciales e importantes) siguiendo la lógica OCTAVE (activos, amenazas, vulnerabilidades, riesgos, controles, resultados).</w:t>
      </w:r>
    </w:p>
    <w:p>
      <w:pPr>
        <w:pStyle w:val="ListNumber"/>
        <w:keepLines w:val="1"/>
        <w:keepNext w:val="1"/>
        <w:widowControl w:val="1"/>
      </w:pPr>
      <w:r>
        <w:t>Cuantificar un Índice Global de Madurez (IGM) que permita comparar unidades organizativas, sectores y evolución temporal.</w:t>
      </w:r>
    </w:p>
    <w:p>
      <w:pPr>
        <w:pStyle w:val="ListNumber"/>
        <w:keepLines w:val="1"/>
        <w:widowControl w:val="1"/>
      </w:pPr>
      <w:r>
        <w:t>Proporcionar insumos para estimar el ROI (y ROSI) de la ciberseguridad, conectando inversiones, reducción de riesgo y métricas operativas (MTTD, MTTR, incidentes evitados, etc.).[web:59][web:65][web:67]</w:t>
      </w:r>
    </w:p>
    <w:p>
      <w:r>
        <w:t>La encuesta no pretende sustituir a auditorías técnicas ni a análisis MAGERIT/ISO 27005; pretende, más bien, ofrecer una vista panorámica —honesta y comparable— que permita orientar prioridades y decisiones de inversión.</w:t>
      </w:r>
    </w:p>
    <w:p>
      <w:pPr>
        <w:pStyle w:val="Heading2"/>
        <w:keepNext/>
        <w:keepLines/>
      </w:pPr>
      <w:r>
        <w:rPr>
          <w:color w:val="0066CC"/>
        </w:rPr>
        <w:t>2. Población objetivo y muestreo</w:t>
      </w:r>
    </w:p>
    <w:p>
      <w:pPr>
        <w:pStyle w:val="Heading3"/>
        <w:keepNext/>
        <w:keepLines/>
      </w:pPr>
      <w:r>
        <w:t>2.1. Población objetivo</w:t>
      </w:r>
    </w:p>
    <w:p>
      <w:r>
        <w:t xml:space="preserve">La encuesta está diseñada para ser respondida por </w:t>
      </w:r>
      <w:r>
        <w:rPr>
          <w:b/>
        </w:rPr>
        <w:t>personas con visión transversal</w:t>
      </w:r>
      <w:r>
        <w:t xml:space="preserve"> de la gestión de la ciberseguridad en la organización:</w:t>
      </w:r>
    </w:p>
    <w:p>
      <w:pPr>
        <w:pStyle w:val="ListBullet"/>
        <w:keepLines w:val="1"/>
        <w:keepNext w:val="1"/>
        <w:widowControl w:val="1"/>
      </w:pPr>
      <w:r>
        <w:t>CISO / Responsable de Seguridad de la Información.</w:t>
      </w:r>
    </w:p>
    <w:p>
      <w:pPr>
        <w:pStyle w:val="ListBullet"/>
        <w:keepLines w:val="1"/>
        <w:keepNext w:val="1"/>
        <w:widowControl w:val="1"/>
      </w:pPr>
      <w:r>
        <w:t>Responsables de riesgos, cumplimiento o continuidad de negocio.</w:t>
      </w:r>
    </w:p>
    <w:p>
      <w:pPr>
        <w:pStyle w:val="ListBullet"/>
        <w:keepLines w:val="1"/>
        <w:widowControl w:val="1"/>
      </w:pPr>
      <w:r>
        <w:t>Miembros de la alta dirección con responsabilidad sobre ciberseguridad.</w:t>
      </w:r>
    </w:p>
    <w:p>
      <w:r>
        <w:t xml:space="preserve">En organizaciones grandes, puede ser útil aplicar la encuesta por </w:t>
      </w:r>
      <w:r>
        <w:rPr>
          <w:b/>
        </w:rPr>
        <w:t>unidad de negocio, país o línea de servicio</w:t>
      </w:r>
      <w:r>
        <w:t>, siempre que exista alguien con visión global en cada ámbito.</w:t>
      </w:r>
    </w:p>
    <w:p>
      <w:pPr>
        <w:pStyle w:val="Heading3"/>
        <w:keepNext/>
        <w:keepLines/>
      </w:pPr>
      <w:r>
        <w:t>2.2. Estrategia de muestreo</w:t>
      </w:r>
    </w:p>
    <w:p>
      <w:r>
        <w:t>Se recomiendan dos niveles:</w:t>
      </w:r>
    </w:p>
    <w:p>
      <w:pPr>
        <w:pStyle w:val="ListBullet"/>
        <w:keepLines w:val="1"/>
        <w:keepNext w:val="1"/>
        <w:widowControl w:val="1"/>
      </w:pPr>
      <w:r>
        <w:t>Nivel macro (inter‑organizacional): selección de una muestra estratificada de organizaciones por tipo (operador esencial, administración, PYME, etc.), sector y tamaño.</w:t>
      </w:r>
    </w:p>
    <w:p>
      <w:pPr>
        <w:pStyle w:val="ListBullet"/>
        <w:keepLines w:val="1"/>
        <w:widowControl w:val="1"/>
      </w:pPr>
      <w:r>
        <w:t>Nivel micro (intra‑organizacional): aplicación de la encuesta a varias áreas clave (por ejemplo, negocio core, TI corporativo, filiales críticas), para capturar heterogeneidad interna.</w:t>
      </w:r>
    </w:p>
    <w:p>
      <w:r>
        <w:t xml:space="preserve">El objetivo no es la representatividad estadística perfecta, sino un equilibrio razonable entre </w:t>
      </w:r>
      <w:r>
        <w:rPr>
          <w:b/>
        </w:rPr>
        <w:t>cobertura sectorial</w:t>
      </w:r>
      <w:r>
        <w:t xml:space="preserve"> y </w:t>
      </w:r>
      <w:r>
        <w:rPr>
          <w:b/>
        </w:rPr>
        <w:t>profundidad de diagnóstico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3. Estructura de la encuesta y dominios de madurez</w:t>
      </w:r>
    </w:p>
    <w:p>
      <w:r>
        <w:t xml:space="preserve">La encuesta se organiza en los siguientes bloques, que se interpretan como </w:t>
      </w:r>
      <w:r>
        <w:rPr>
          <w:b/>
        </w:rPr>
        <w:t>dominios de madurez</w:t>
      </w:r>
      <w:r>
        <w:t xml:space="preserve"> para el cálculo del IGM:</w:t>
      </w:r>
    </w:p>
    <w:p>
      <w:pPr>
        <w:pStyle w:val="ListNumber"/>
        <w:keepLines w:val="1"/>
        <w:keepNext w:val="1"/>
        <w:widowControl w:val="1"/>
      </w:pPr>
      <w:r>
        <w:t>Gobernanza, estrategia y apetito de riesgo (Bloque B).</w:t>
      </w:r>
    </w:p>
    <w:p>
      <w:pPr>
        <w:pStyle w:val="ListNumber"/>
        <w:keepLines w:val="1"/>
        <w:keepNext w:val="1"/>
        <w:widowControl w:val="1"/>
      </w:pPr>
      <w:r>
        <w:t>Identificación y gestión de activos (Bloque C).</w:t>
      </w:r>
    </w:p>
    <w:p>
      <w:pPr>
        <w:pStyle w:val="ListNumber"/>
        <w:keepLines w:val="1"/>
        <w:keepNext w:val="1"/>
        <w:widowControl w:val="1"/>
      </w:pPr>
      <w:r>
        <w:t>Criterios de impacto, medición del riesgo y uso de OCTAVE (Bloque D).</w:t>
      </w:r>
    </w:p>
    <w:p>
      <w:pPr>
        <w:pStyle w:val="ListNumber"/>
        <w:keepLines w:val="1"/>
        <w:keepNext w:val="1"/>
        <w:widowControl w:val="1"/>
      </w:pPr>
      <w:r>
        <w:t>Vulnerabilidades, amenazas y superficie de ataque (Bloque E).</w:t>
      </w:r>
    </w:p>
    <w:p>
      <w:pPr>
        <w:pStyle w:val="ListNumber"/>
        <w:keepLines w:val="1"/>
        <w:keepNext w:val="1"/>
        <w:widowControl w:val="1"/>
      </w:pPr>
      <w:r>
        <w:t>Incidentes, continuidad y resiliencia (Bloque F).</w:t>
      </w:r>
    </w:p>
    <w:p>
      <w:pPr>
        <w:pStyle w:val="ListNumber"/>
        <w:keepLines w:val="1"/>
        <w:keepNext w:val="1"/>
        <w:widowControl w:val="1"/>
      </w:pPr>
      <w:r>
        <w:t>Capacidades, cultura y formación (Bloque G).</w:t>
      </w:r>
    </w:p>
    <w:p>
      <w:pPr>
        <w:pStyle w:val="ListNumber"/>
        <w:keepLines w:val="1"/>
        <w:keepNext w:val="1"/>
        <w:widowControl w:val="1"/>
      </w:pPr>
      <w:r>
        <w:t>Alineamiento normativo y marcos de referencia (Bloque H).</w:t>
      </w:r>
    </w:p>
    <w:p>
      <w:pPr>
        <w:pStyle w:val="ListNumber"/>
        <w:keepLines w:val="1"/>
        <w:keepNext w:val="1"/>
        <w:widowControl w:val="1"/>
      </w:pPr>
      <w:r>
        <w:t>Métricas, IGM y ROI (Bloque I).</w:t>
      </w:r>
    </w:p>
    <w:p>
      <w:pPr>
        <w:pStyle w:val="ListNumber"/>
        <w:keepLines w:val="1"/>
        <w:widowControl w:val="1"/>
      </w:pPr>
      <w:r>
        <w:t>Percepción global y prioridades (Bloque J).</w:t>
      </w:r>
    </w:p>
    <w:p>
      <w:r>
        <w:t>Cada dominio corresponde a componentes clave de OCTAVE Allegro/FORTE y de marcos como ENS, NIS2, NIST CSF e ISO 27001/27005 (gestión de activos, análisis de riesgos, respuesta a incidentes, mejora continua).[web:4][web:5][web:66][web:60]</w:t>
      </w:r>
    </w:p>
    <w:p>
      <w:pPr>
        <w:pStyle w:val="Heading2"/>
        <w:keepNext/>
        <w:keepLines/>
      </w:pPr>
      <w:r>
        <w:rPr>
          <w:color w:val="0066CC"/>
        </w:rPr>
        <w:t>4. Escalas de respuesta y codificación</w:t>
      </w:r>
    </w:p>
    <w:p>
      <w:pPr>
        <w:pStyle w:val="Heading3"/>
        <w:keepNext/>
        <w:keepLines/>
      </w:pPr>
      <w:r>
        <w:t>4.1. Escalas Likert 1–5 de madurez</w:t>
      </w:r>
    </w:p>
    <w:p>
      <w:r>
        <w:t>La mayoría de preguntas se codificarán en una escala de 1 a 5:</w:t>
      </w:r>
    </w:p>
    <w:p>
      <w:pPr>
        <w:pStyle w:val="ListBullet"/>
        <w:keepLines w:val="1"/>
        <w:keepNext w:val="1"/>
        <w:widowControl w:val="1"/>
      </w:pPr>
      <w:r>
        <w:t>1 = Inexistente / puramente reactivo.</w:t>
      </w:r>
    </w:p>
    <w:p>
      <w:pPr>
        <w:pStyle w:val="ListBullet"/>
        <w:keepLines w:val="1"/>
        <w:keepNext w:val="1"/>
        <w:widowControl w:val="1"/>
      </w:pPr>
      <w:r>
        <w:t>2 = Inicial / ad‑hoc.</w:t>
      </w:r>
    </w:p>
    <w:p>
      <w:pPr>
        <w:pStyle w:val="ListBullet"/>
        <w:keepLines w:val="1"/>
        <w:keepNext w:val="1"/>
        <w:widowControl w:val="1"/>
      </w:pPr>
      <w:r>
        <w:t>3 = Definido pero irregular.</w:t>
      </w:r>
    </w:p>
    <w:p>
      <w:pPr>
        <w:pStyle w:val="ListBullet"/>
        <w:keepLines w:val="1"/>
        <w:keepNext w:val="1"/>
        <w:widowControl w:val="1"/>
      </w:pPr>
      <w:r>
        <w:t>4 = Gestionado y medido.</w:t>
      </w:r>
    </w:p>
    <w:p>
      <w:pPr>
        <w:pStyle w:val="ListBullet"/>
        <w:keepLines w:val="1"/>
        <w:widowControl w:val="1"/>
      </w:pPr>
      <w:r>
        <w:t>5 = Optimizado / integrado en negocio.</w:t>
      </w:r>
    </w:p>
    <w:p>
      <w:r>
        <w:t>Esta escala es compatible con modelos de madurez ampliamente usados (por ejemplo, NIST CSF Tiers, modelos basados en CMMI), facilitando el diálogo con otros marcos.[web:61][web:58][web:64]</w:t>
      </w:r>
    </w:p>
    <w:p>
      <w:pPr>
        <w:pStyle w:val="Heading3"/>
        <w:keepNext/>
        <w:keepLines/>
      </w:pPr>
      <w:r>
        <w:t>4.2. Preguntas con opciones categóricas</w:t>
      </w:r>
    </w:p>
    <w:p>
      <w:r>
        <w:t xml:space="preserve">Algunas preguntas usan opciones nominales (por ejemplo, tipo de organización, tamaño). Dichas variables se utilizarán como </w:t>
      </w:r>
      <w:r>
        <w:rPr>
          <w:b/>
        </w:rPr>
        <w:t>variables de segmentación</w:t>
      </w:r>
      <w:r>
        <w:t>, no como parte directa del IGM.</w:t>
      </w:r>
    </w:p>
    <w:p>
      <w:pPr>
        <w:pStyle w:val="Heading3"/>
        <w:keepNext/>
        <w:keepLines/>
      </w:pPr>
      <w:r>
        <w:t>4.3. Preguntas multi‑respuesta</w:t>
      </w:r>
    </w:p>
    <w:p>
      <w:r>
        <w:t>Las preguntas que permiten marcar varias opciones (por ejemplo, barreras, prioridades) se codificarán como variables binarias (0/1 por opción), útiles para análisis exploratorios pero no necesariamente incluidas en el cálculo del IGM.</w:t>
      </w:r>
    </w:p>
    <w:p>
      <w:pPr>
        <w:pStyle w:val="Heading2"/>
        <w:keepNext/>
        <w:keepLines/>
      </w:pPr>
      <w:r>
        <w:rPr>
          <w:color w:val="0066CC"/>
        </w:rPr>
        <w:t>5. Cálculo del Índice Global de Madurez (IGM)</w:t>
      </w:r>
    </w:p>
    <w:p>
      <w:pPr>
        <w:pStyle w:val="Heading3"/>
        <w:keepNext/>
        <w:keepLines/>
      </w:pPr>
      <w:r>
        <w:t>5.1. Paso 1 – Asignación de puntuaciones por pregunta</w:t>
      </w:r>
    </w:p>
    <w:p>
      <w:r>
        <w:t>Para cada pregunta de madurez (principalmente Bloques B a I):</w:t>
      </w:r>
    </w:p>
    <w:p>
      <w:pPr>
        <w:pStyle w:val="ListBullet"/>
        <w:keepLines w:val="1"/>
        <w:keepNext w:val="1"/>
        <w:widowControl w:val="1"/>
      </w:pPr>
      <w:r>
        <w:t>Asignar valores numéricos de 1 a 5 según la opción elegida.</w:t>
      </w:r>
    </w:p>
    <w:p>
      <w:pPr>
        <w:pStyle w:val="ListBullet"/>
        <w:keepLines w:val="1"/>
        <w:keepNext w:val="1"/>
        <w:widowControl w:val="1"/>
      </w:pPr>
      <w:r>
        <w:t>En preguntas con opciones de texto libre o “No aplica”, codificar como:</w:t>
      </w:r>
    </w:p>
    <w:p>
      <w:pPr>
        <w:pStyle w:val="ListBullet"/>
        <w:keepLines w:val="1"/>
        <w:keepNext w:val="1"/>
        <w:widowControl w:val="1"/>
      </w:pPr>
      <w:r>
        <w:t>NA (no aplica) → excluir de los cálculos de ese dominio.</w:t>
      </w:r>
    </w:p>
    <w:p>
      <w:pPr>
        <w:pStyle w:val="ListBullet"/>
        <w:keepLines w:val="1"/>
        <w:widowControl w:val="1"/>
      </w:pPr>
      <w:r>
        <w:t>Sin respuesta → marcar como dato faltante.</w:t>
      </w:r>
    </w:p>
    <w:p>
      <w:pPr>
        <w:pStyle w:val="Heading3"/>
        <w:keepNext/>
        <w:keepLines/>
      </w:pPr>
      <w:r>
        <w:t>5.2. Paso 2 – Cálculo de puntuaciones por dominio</w:t>
      </w:r>
    </w:p>
    <w:p>
      <w:r>
        <w:t>Para cada dominio (d):</w:t>
      </w:r>
    </w:p>
    <w:p>
      <w:r>
        <w:t>( \text{Puntuación media de dominio}</w:t>
      </w:r>
      <w:r>
        <w:rPr>
          <w:i/>
        </w:rPr>
        <w:t>d = \frac{\sum</w:t>
      </w:r>
      <w:r>
        <w:t xml:space="preserve">{i \in d} x_i}{N_d} )  </w:t>
      </w:r>
    </w:p>
    <w:p>
      <w:r>
        <w:t>donde (x_i) es la puntuación de la pregunta i y (N_d) el número de preguntas válidas en el dominio.</w:t>
      </w:r>
    </w:p>
    <w:p>
      <w:r>
        <w:t>La puntuación resultante estará entre 1 y 5.</w:t>
      </w:r>
    </w:p>
    <w:p>
      <w:pPr>
        <w:pStyle w:val="Heading3"/>
        <w:keepNext/>
        <w:keepLines/>
      </w:pPr>
      <w:r>
        <w:t>5.3. Paso 3 – Normalización a escala 0–100</w:t>
      </w:r>
    </w:p>
    <w:p>
      <w:r>
        <w:t>Para facilitar la comunicación al consejo y comparaciones entre dominios, se recomienda transformar las puntuaciones 1–5 en una escala 0–100:</w:t>
      </w:r>
    </w:p>
    <w:p>
      <w:r>
        <w:t>( \text{Puntuación normalizada}_d = \frac{(\text{Puntuación media}_d - 1)}{4} \times 100 )</w:t>
      </w:r>
    </w:p>
    <w:p>
      <w:r>
        <w:t>Así:</w:t>
      </w:r>
    </w:p>
    <w:p>
      <w:pPr>
        <w:pStyle w:val="ListBullet"/>
        <w:keepLines w:val="1"/>
        <w:keepNext w:val="1"/>
        <w:widowControl w:val="1"/>
      </w:pPr>
      <w:r>
        <w:t>1 → 0.</w:t>
      </w:r>
    </w:p>
    <w:p>
      <w:pPr>
        <w:pStyle w:val="ListBullet"/>
        <w:keepLines w:val="1"/>
        <w:keepNext w:val="1"/>
        <w:widowControl w:val="1"/>
      </w:pPr>
      <w:r>
        <w:t>3 → 50.</w:t>
      </w:r>
    </w:p>
    <w:p>
      <w:pPr>
        <w:pStyle w:val="ListBullet"/>
        <w:keepLines w:val="1"/>
        <w:widowControl w:val="1"/>
      </w:pPr>
      <w:r>
        <w:t>5 → 100.</w:t>
      </w:r>
    </w:p>
    <w:p>
      <w:pPr>
        <w:pStyle w:val="Heading3"/>
        <w:keepNext/>
        <w:keepLines/>
      </w:pPr>
      <w:r>
        <w:t>5.4. Paso 4 – Cálculo del IGM global</w:t>
      </w:r>
    </w:p>
    <w:p>
      <w:r>
        <w:t>El Índice Global de Madurez de la organización se obtiene como media ponderada de los dominios:</w:t>
      </w:r>
    </w:p>
    <w:p>
      <w:r>
        <w:t>( \text{IGM} = \sum_{d} w_d \times \text{Puntuación normalizada}_d )</w:t>
      </w:r>
    </w:p>
    <w:p>
      <w:r>
        <w:t xml:space="preserve">Si no se desea priorizar ningún dominio, se pueden usar </w:t>
      </w:r>
      <w:r>
        <w:rPr>
          <w:b/>
        </w:rPr>
        <w:t>pesos iguales</w:t>
      </w:r>
      <w:r>
        <w:t>:</w:t>
      </w:r>
    </w:p>
    <w:p>
      <w:pPr>
        <w:pStyle w:val="ListBullet"/>
        <w:keepLines w:val="1"/>
        <w:widowControl w:val="1"/>
      </w:pPr>
      <w:r>
        <w:t>(w_d = 1/D), donde (D) es el número de dominios.</w:t>
      </w:r>
    </w:p>
    <w:p>
      <w:r>
        <w:t xml:space="preserve">Como alternativa, es posible asignar </w:t>
      </w:r>
      <w:r>
        <w:rPr>
          <w:b/>
        </w:rPr>
        <w:t>mayor peso</w:t>
      </w:r>
      <w:r>
        <w:t xml:space="preserve"> a dominios considerados más críticos (por ejemplo, Gobernanza, Incidentes y Alineamiento normativo) en sectores regulados.[web:19][web:21][web:63][web:71]</w:t>
      </w:r>
    </w:p>
    <w:p>
      <w:pPr>
        <w:pStyle w:val="Heading3"/>
        <w:keepNext/>
        <w:keepLines/>
      </w:pPr>
      <w:r>
        <w:t>5.5. Interpretación del IGM</w:t>
      </w:r>
    </w:p>
    <w:p>
      <w:r>
        <w:t>Se propone la siguiente lectura cualitativa:</w:t>
      </w:r>
    </w:p>
    <w:p>
      <w:pPr>
        <w:pStyle w:val="ListBullet"/>
        <w:keepLines w:val="1"/>
        <w:keepNext w:val="1"/>
        <w:widowControl w:val="1"/>
      </w:pPr>
      <w:r>
        <w:t>0–20: Muy bajo – Riesgo elevado, programa principalmente reactivo.</w:t>
      </w:r>
    </w:p>
    <w:p>
      <w:pPr>
        <w:pStyle w:val="ListBullet"/>
        <w:keepLines w:val="1"/>
        <w:keepNext w:val="1"/>
        <w:widowControl w:val="1"/>
      </w:pPr>
      <w:r>
        <w:t>21–40: Bajo – Bases incipientes, huecos significativos.</w:t>
      </w:r>
    </w:p>
    <w:p>
      <w:pPr>
        <w:pStyle w:val="ListBullet"/>
        <w:keepLines w:val="1"/>
        <w:keepNext w:val="1"/>
        <w:widowControl w:val="1"/>
      </w:pPr>
      <w:r>
        <w:t>41–60: Medio – Programa razonable, pero con brechas destacables.</w:t>
      </w:r>
    </w:p>
    <w:p>
      <w:pPr>
        <w:pStyle w:val="ListBullet"/>
        <w:keepLines w:val="1"/>
        <w:keepNext w:val="1"/>
        <w:widowControl w:val="1"/>
      </w:pPr>
      <w:r>
        <w:t>61–80: Alto – Programa robusto, en mejora continua.</w:t>
      </w:r>
    </w:p>
    <w:p>
      <w:pPr>
        <w:pStyle w:val="ListBullet"/>
        <w:keepLines w:val="1"/>
        <w:widowControl w:val="1"/>
      </w:pPr>
      <w:r>
        <w:t>81–100: Muy alto – Referencia sectorial, enfoque proactivo e integrado.</w:t>
      </w:r>
    </w:p>
    <w:p>
      <w:pPr>
        <w:pStyle w:val="Heading2"/>
        <w:keepNext/>
        <w:keepLines/>
      </w:pPr>
      <w:r>
        <w:rPr>
          <w:color w:val="0066CC"/>
        </w:rPr>
        <w:t>6. Estimación del ROI (y ROSI) de la ciberseguridad</w:t>
      </w:r>
    </w:p>
    <w:p>
      <w:pPr>
        <w:pStyle w:val="Heading3"/>
        <w:keepNext/>
        <w:keepLines/>
      </w:pPr>
      <w:r>
        <w:t>6.1. Conceptos básicos</w:t>
      </w:r>
    </w:p>
    <w:p>
      <w:r>
        <w:t>El ROI clásico se define como:</w:t>
      </w:r>
    </w:p>
    <w:p>
      <w:r>
        <w:t>( ROI = \frac{Beneficios - Costes}{Costes} )</w:t>
      </w:r>
    </w:p>
    <w:p>
      <w:r>
        <w:t xml:space="preserve">Aplicado a ciberseguridad, el reto es </w:t>
      </w:r>
      <w:r>
        <w:rPr>
          <w:b/>
        </w:rPr>
        <w:t>cuantificar los beneficios</w:t>
      </w:r>
      <w:r>
        <w:t>, que suelen consistir en pérdidas evitadas, reducción de probabilidad o impacto de incidentes, mejora de eficiencia, y habilitación de negocio.[web:59][web:65][web:70]</w:t>
      </w:r>
    </w:p>
    <w:p>
      <w:r>
        <w:t xml:space="preserve">La industria utiliza a menudo el concepto de </w:t>
      </w:r>
      <w:r>
        <w:rPr>
          <w:b/>
        </w:rPr>
        <w:t>Return on Security Investment (ROSI)</w:t>
      </w:r>
      <w:r>
        <w:t xml:space="preserve"> o de </w:t>
      </w:r>
      <w:r>
        <w:rPr>
          <w:b/>
        </w:rPr>
        <w:t>Return on Mitigation (RoM)</w:t>
      </w:r>
      <w:r>
        <w:t>, donde los beneficios se expresan como reducción del riesgo económico (pérdidas esperadas) o de otros impactos medidos.[web:62][web:67][web:70]</w:t>
      </w:r>
    </w:p>
    <w:p>
      <w:pPr>
        <w:pStyle w:val="Heading3"/>
        <w:keepNext/>
        <w:keepLines/>
      </w:pPr>
      <w:r>
        <w:t>6.2. Datos necesarios</w:t>
      </w:r>
    </w:p>
    <w:p>
      <w:r>
        <w:t>A partir de la encuesta, se recomiendan los siguientes datos (que pueden complementar a la misma en un formulario adicional):</w:t>
      </w:r>
    </w:p>
    <w:p>
      <w:pPr>
        <w:pStyle w:val="ListBullet"/>
        <w:keepLines w:val="1"/>
        <w:keepNext w:val="1"/>
        <w:widowControl w:val="1"/>
      </w:pPr>
      <w:r>
        <w:t>Costes de ciberseguridad:</w:t>
      </w:r>
    </w:p>
    <w:p>
      <w:pPr>
        <w:pStyle w:val="ListBullet"/>
        <w:keepLines w:val="1"/>
        <w:keepNext w:val="1"/>
        <w:widowControl w:val="1"/>
      </w:pPr>
      <w:r>
        <w:t>Inversión anual en tecnología de seguridad.</w:t>
      </w:r>
    </w:p>
    <w:p>
      <w:pPr>
        <w:pStyle w:val="ListBullet"/>
        <w:keepLines w:val="1"/>
        <w:keepNext w:val="1"/>
        <w:widowControl w:val="1"/>
      </w:pPr>
      <w:r>
        <w:t>Costes de personal dedicado.</w:t>
      </w:r>
    </w:p>
    <w:p>
      <w:pPr>
        <w:pStyle w:val="ListBullet"/>
        <w:keepLines w:val="1"/>
        <w:keepNext w:val="1"/>
        <w:widowControl w:val="1"/>
      </w:pPr>
      <w:r>
        <w:t>Costes de servicios externos (consultoría, auditoría, SOC, etc.).</w:t>
      </w:r>
    </w:p>
    <w:p>
      <w:pPr>
        <w:pStyle w:val="ListBullet"/>
        <w:keepLines w:val="1"/>
        <w:keepNext w:val="1"/>
        <w:widowControl w:val="1"/>
      </w:pPr>
      <w:r>
        <w:t>Datos de incidentes:</w:t>
      </w:r>
    </w:p>
    <w:p>
      <w:pPr>
        <w:pStyle w:val="ListBullet"/>
        <w:keepLines w:val="1"/>
        <w:keepNext w:val="1"/>
        <w:widowControl w:val="1"/>
      </w:pPr>
      <w:r>
        <w:t>Número de incidentes significativos por año.</w:t>
      </w:r>
    </w:p>
    <w:p>
      <w:pPr>
        <w:pStyle w:val="ListBullet"/>
        <w:keepLines w:val="1"/>
        <w:keepNext w:val="1"/>
        <w:widowControl w:val="1"/>
      </w:pPr>
      <w:r>
        <w:t>Coste medio por incidente (directo e indirecto) estimado.</w:t>
      </w:r>
    </w:p>
    <w:p>
      <w:pPr>
        <w:pStyle w:val="ListBullet"/>
        <w:keepLines w:val="1"/>
        <w:keepNext w:val="1"/>
        <w:widowControl w:val="1"/>
      </w:pPr>
      <w:r>
        <w:t>Duración media de interrupciones (horas) y coste por hora de parada.</w:t>
      </w:r>
    </w:p>
    <w:p>
      <w:pPr>
        <w:pStyle w:val="ListBullet"/>
        <w:keepLines w:val="1"/>
        <w:keepNext w:val="1"/>
        <w:widowControl w:val="1"/>
      </w:pPr>
      <w:r>
        <w:t>Reducción de incidentes o impacto tras medidas clave:</w:t>
      </w:r>
    </w:p>
    <w:p>
      <w:pPr>
        <w:pStyle w:val="ListBullet"/>
        <w:keepLines w:val="1"/>
        <w:widowControl w:val="1"/>
      </w:pPr>
      <w:r>
        <w:t>Comparación antes/después de iniciativas relevantes.</w:t>
      </w:r>
    </w:p>
    <w:p>
      <w:pPr>
        <w:pStyle w:val="Heading3"/>
        <w:keepNext/>
        <w:keepLines/>
      </w:pPr>
      <w:r>
        <w:t>6.3. Ejemplo de fórmula de ROSI simplificada</w:t>
      </w:r>
    </w:p>
    <w:p>
      <w:pPr>
        <w:pStyle w:val="ListNumber"/>
        <w:keepLines w:val="1"/>
        <w:widowControl w:val="1"/>
      </w:pPr>
      <w:r>
        <w:t>Estimar la pérdida anual esperada antes de la inversión:</w:t>
      </w:r>
    </w:p>
    <w:p>
      <w:r>
        <w:t>( AE_{antes} = Probabilidad_{antes} \times Impacto_{medio} )</w:t>
      </w:r>
    </w:p>
    <w:p>
      <w:pPr>
        <w:pStyle w:val="ListNumber"/>
        <w:keepLines w:val="1"/>
        <w:widowControl w:val="1"/>
      </w:pPr>
      <w:r>
        <w:t>Estimar la pérdida anual esperada después de la inversión:</w:t>
      </w:r>
    </w:p>
    <w:p>
      <w:r>
        <w:t>( AE_{después} = Probabilidad_{después} \times Impacto_{medio} )</w:t>
      </w:r>
    </w:p>
    <w:p>
      <w:pPr>
        <w:pStyle w:val="ListNumber"/>
        <w:keepLines w:val="1"/>
        <w:widowControl w:val="1"/>
      </w:pPr>
      <w:r>
        <w:t>Calcular la reducción de riesgo monetizada:</w:t>
      </w:r>
    </w:p>
    <w:p>
      <w:r>
        <w:t>( Reducción\ de\ riesgo = AE_{antes} - AE_{después} )</w:t>
      </w:r>
    </w:p>
    <w:p>
      <w:pPr>
        <w:pStyle w:val="ListNumber"/>
        <w:keepLines w:val="1"/>
        <w:widowControl w:val="1"/>
      </w:pPr>
      <w:r>
        <w:t>Calcular el ROSI:</w:t>
      </w:r>
    </w:p>
    <w:p>
      <w:r>
        <w:t>( ROSI = \frac{Reducción\ de\ riesgo - Coste\ de\ la\ inversión}{Coste\ de\ la\ inversión} )</w:t>
      </w:r>
    </w:p>
    <w:p>
      <w:r>
        <w:t xml:space="preserve">Este esquema encaja con las recomendaciones recientes que insisten en medir ROI como </w:t>
      </w:r>
      <w:r>
        <w:rPr>
          <w:b/>
        </w:rPr>
        <w:t>valor de reducción de riesgo</w:t>
      </w:r>
      <w:r>
        <w:t xml:space="preserve"> más que como simple ahorro contable.[web:59][web:65][web:67][web:70]</w:t>
      </w:r>
    </w:p>
    <w:p>
      <w:pPr>
        <w:pStyle w:val="Heading3"/>
        <w:keepNext/>
        <w:keepLines/>
      </w:pPr>
      <w:r>
        <w:t>6.4. Uso del IGM en el análisis de ROI</w:t>
      </w:r>
    </w:p>
    <w:p>
      <w:r>
        <w:t>El IGM puede utilizarse como indicador de contexto para el ROI:</w:t>
      </w:r>
    </w:p>
    <w:p>
      <w:pPr>
        <w:pStyle w:val="ListBullet"/>
        <w:keepLines w:val="1"/>
        <w:keepNext w:val="1"/>
        <w:widowControl w:val="1"/>
      </w:pPr>
      <w:r>
        <w:t>Organizaciones con IGM bajo pueden mostrar altas pérdidas esperadas, de modo que pequeñas inversiones con gran impacto en madurez generen ROSI elevado.</w:t>
      </w:r>
    </w:p>
    <w:p>
      <w:pPr>
        <w:pStyle w:val="ListBullet"/>
        <w:keepLines w:val="1"/>
        <w:widowControl w:val="1"/>
      </w:pPr>
      <w:r>
        <w:t>En organizaciones con IGM alto, el foco puede estar en mantener el nivel y demostrar que la inversión preserva la resiliencia frente a amenazas crecientes.</w:t>
      </w:r>
    </w:p>
    <w:p>
      <w:pPr>
        <w:pStyle w:val="Heading2"/>
        <w:keepNext/>
        <w:keepLines/>
      </w:pPr>
      <w:r>
        <w:rPr>
          <w:color w:val="0066CC"/>
        </w:rPr>
        <w:t>7. Tratamiento de datos, anonimización y ética</w:t>
      </w:r>
    </w:p>
    <w:p>
      <w:pPr>
        <w:pStyle w:val="ListBullet"/>
        <w:keepLines w:val="1"/>
        <w:keepNext w:val="1"/>
        <w:widowControl w:val="1"/>
      </w:pPr>
      <w:r>
        <w:t>Se recomienda anonimizar las respuestas de organizaciones individuales en los análisis agregados, salvo consentimiento explícito.</w:t>
      </w:r>
    </w:p>
    <w:p>
      <w:pPr>
        <w:pStyle w:val="ListBullet"/>
        <w:keepLines w:val="1"/>
        <w:keepNext w:val="1"/>
        <w:widowControl w:val="1"/>
      </w:pPr>
      <w:r>
        <w:t>Los datos se deben usar exclusivamente para mejora de la ciberseguridad y no para mecanismos punitivos internos.</w:t>
      </w:r>
    </w:p>
    <w:p>
      <w:pPr>
        <w:pStyle w:val="ListBullet"/>
        <w:keepLines w:val="1"/>
        <w:widowControl w:val="1"/>
      </w:pPr>
      <w:r>
        <w:t>La publicación de resultados agregados por sector puede ser una palanca poderosa para la mejora colectiva, siempre cuidando la confidencialidad.</w:t>
      </w:r>
    </w:p>
    <w:p>
      <w:pPr>
        <w:pStyle w:val="Heading2"/>
        <w:keepNext/>
        <w:keepLines/>
      </w:pPr>
      <w:r>
        <w:rPr>
          <w:color w:val="0066CC"/>
        </w:rPr>
        <w:t>8. Visualización y comunicación de resultados</w:t>
      </w:r>
    </w:p>
    <w:p>
      <w:pPr>
        <w:pStyle w:val="Heading3"/>
        <w:keepNext/>
        <w:keepLines/>
      </w:pPr>
      <w:r>
        <w:t>8.1. Cuadros de mando y gráficos sugeridos</w:t>
      </w:r>
    </w:p>
    <w:p>
      <w:pPr>
        <w:pStyle w:val="ListBullet"/>
        <w:keepLines w:val="1"/>
        <w:keepNext w:val="1"/>
        <w:widowControl w:val="1"/>
      </w:pPr>
      <w:r>
        <w:t>Radar de madurez por dominios (B–I).</w:t>
      </w:r>
    </w:p>
    <w:p>
      <w:pPr>
        <w:pStyle w:val="ListBullet"/>
        <w:keepLines w:val="1"/>
        <w:keepNext w:val="1"/>
        <w:widowControl w:val="1"/>
      </w:pPr>
      <w:r>
        <w:t>Barras comparativas de IGM por unidad de negocio o país.</w:t>
      </w:r>
    </w:p>
    <w:p>
      <w:pPr>
        <w:pStyle w:val="ListBullet"/>
        <w:keepLines w:val="1"/>
        <w:keepNext w:val="1"/>
        <w:widowControl w:val="1"/>
      </w:pPr>
      <w:r>
        <w:t>Trayectorias temporales (IGM por año).</w:t>
      </w:r>
    </w:p>
    <w:p>
      <w:pPr>
        <w:pStyle w:val="ListBullet"/>
        <w:keepLines w:val="1"/>
        <w:widowControl w:val="1"/>
      </w:pPr>
      <w:r>
        <w:t>Matrices que crucen IGM con indicadores de incidentes (frecuencia, impacto).</w:t>
      </w:r>
    </w:p>
    <w:p>
      <w:pPr>
        <w:pStyle w:val="Heading3"/>
        <w:keepNext/>
        <w:keepLines/>
      </w:pPr>
      <w:r>
        <w:t>8.2. Mensaje para la alta dirección</w:t>
      </w:r>
    </w:p>
    <w:p>
      <w:pPr>
        <w:pStyle w:val="ListBullet"/>
        <w:keepLines w:val="1"/>
        <w:keepNext w:val="1"/>
        <w:widowControl w:val="1"/>
      </w:pPr>
      <w:r>
        <w:t>Evitar sobrecargar con indicadores técnicos.</w:t>
      </w:r>
    </w:p>
    <w:p>
      <w:pPr>
        <w:pStyle w:val="ListBullet"/>
        <w:keepLines w:val="1"/>
        <w:keepNext w:val="1"/>
        <w:widowControl w:val="1"/>
      </w:pPr>
      <w:r>
        <w:t>Destacar 3–5 mensajes clave: dominios fuertes, dominios débiles, tendencia, riesgos prioritarios y estimación de ROI/ROSI.</w:t>
      </w:r>
    </w:p>
    <w:p>
      <w:pPr>
        <w:pStyle w:val="ListBullet"/>
        <w:keepLines w:val="1"/>
        <w:widowControl w:val="1"/>
      </w:pPr>
      <w:r>
        <w:t>Presentar un plan de acción con medidas priorizadas y beneficios esperados.</w:t>
      </w:r>
    </w:p>
    <w:p>
      <w:pPr>
        <w:pStyle w:val="Heading2"/>
        <w:keepNext/>
        <w:keepLines/>
      </w:pPr>
      <w:r>
        <w:rPr>
          <w:color w:val="0066CC"/>
        </w:rPr>
        <w:t>9. Limitaciones y mejoras futuras</w:t>
      </w:r>
    </w:p>
    <w:p>
      <w:pPr>
        <w:pStyle w:val="ListBullet"/>
        <w:keepLines w:val="1"/>
        <w:keepNext w:val="1"/>
        <w:widowControl w:val="1"/>
      </w:pPr>
      <w:r>
        <w:t>El IGM es un indicador compuesto, no un oráculo: depende de la calidad y honestidad de las respuestas.</w:t>
      </w:r>
    </w:p>
    <w:p>
      <w:pPr>
        <w:pStyle w:val="ListBullet"/>
        <w:keepLines w:val="1"/>
        <w:keepNext w:val="1"/>
        <w:widowControl w:val="1"/>
      </w:pPr>
      <w:r>
        <w:t>El cálculo de ROI/ROSI se apoya en estimaciones; conviene revisar hipótesis al menos anualmente.</w:t>
      </w:r>
    </w:p>
    <w:p>
      <w:pPr>
        <w:pStyle w:val="ListBullet"/>
        <w:keepLines w:val="1"/>
        <w:widowControl w:val="1"/>
      </w:pPr>
      <w:r>
        <w:t>La encuesta puede evolucionar para incorporar nuevos requisitos normativos (actualizaciones de ENS, desarrollo de NIS2, guías de ENISA y de la OCDE sobre medición de ciberseguridad).[web:19][web:21][web:51][web:63][web:71]</w:t>
      </w:r>
    </w:p>
    <w:p>
      <w:r>
        <w:t>En resumen, la encuesta OCTAVE Nacional es una brújula, no un GPS infalible. Pero una brújula honesta, bien calibrada y compartida puede marcar la diferencia entre navegar el ciber‑temporal con rumbo o limitarse a esperar que la tormenta amaine sola.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