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 de indicadores y métricas GQM</w:t>
      </w:r>
    </w:p>
    <w:p>
      <w:r>
        <w:t>Tabla de correspondencia entre los 15 indicadores OCTAVE nacionales, sus objetivos GQM y los principales marcos normativos (ENS, NIS2, ISO, RGPD, NIST CSF).</w:t>
      </w:r>
    </w:p>
    <w:p>
      <w:pPr>
        <w:pStyle w:val="Heading2"/>
        <w:keepNext/>
        <w:keepLines/>
      </w:pPr>
      <w:r>
        <w:rPr>
          <w:color w:val="0066CC"/>
        </w:rPr>
        <w:t>1. Leyenda</w:t>
      </w:r>
    </w:p>
    <w:p>
      <w:pPr>
        <w:pStyle w:val="ListBullet"/>
        <w:keepLines w:val="1"/>
        <w:keepNext w:val="1"/>
        <w:widowControl w:val="1"/>
      </w:pPr>
      <w:r>
        <w:t>ENS: Esquema Nacional de Seguridad (RD 311/2022).[web:60][web:63][web:71]</w:t>
      </w:r>
    </w:p>
    <w:p>
      <w:pPr>
        <w:pStyle w:val="ListBullet"/>
        <w:keepLines w:val="1"/>
        <w:keepNext w:val="1"/>
        <w:widowControl w:val="1"/>
      </w:pPr>
      <w:r>
        <w:t>NIS2: Directiva (UE) 2022/2555 y normativa de desarrollo.</w:t>
      </w:r>
    </w:p>
    <w:p>
      <w:pPr>
        <w:pStyle w:val="ListBullet"/>
        <w:keepLines w:val="1"/>
        <w:keepNext w:val="1"/>
        <w:widowControl w:val="1"/>
      </w:pPr>
      <w:r>
        <w:t>ISO 27001: ISO/IEC 27001:2022 (SGSI).</w:t>
      </w:r>
    </w:p>
    <w:p>
      <w:pPr>
        <w:pStyle w:val="ListBullet"/>
        <w:keepLines w:val="1"/>
        <w:keepNext w:val="1"/>
        <w:widowControl w:val="1"/>
      </w:pPr>
      <w:r>
        <w:t>ISO 27005: Gestión de riesgos de seguridad de la información.</w:t>
      </w:r>
    </w:p>
    <w:p>
      <w:pPr>
        <w:pStyle w:val="ListBullet"/>
        <w:keepLines w:val="1"/>
        <w:keepNext w:val="1"/>
        <w:widowControl w:val="1"/>
      </w:pPr>
      <w:r>
        <w:t>ISO 22301: Gestión de continuidad de negocio.</w:t>
      </w:r>
    </w:p>
    <w:p>
      <w:pPr>
        <w:pStyle w:val="ListBullet"/>
        <w:keepLines w:val="1"/>
        <w:keepNext w:val="1"/>
        <w:widowControl w:val="1"/>
      </w:pPr>
      <w:r>
        <w:t>RGPD: Reglamento (UE) 2016/679 y LOPDGDD.</w:t>
      </w:r>
    </w:p>
    <w:p>
      <w:pPr>
        <w:pStyle w:val="ListBullet"/>
        <w:keepLines w:val="1"/>
        <w:keepNext w:val="1"/>
        <w:widowControl w:val="1"/>
      </w:pPr>
      <w:r>
        <w:t>NIST CSF: NIST Cybersecurity Framework 2.0.[web:66]</w:t>
      </w:r>
    </w:p>
    <w:p>
      <w:pPr>
        <w:pStyle w:val="ListBullet"/>
        <w:keepLines w:val="1"/>
        <w:widowControl w:val="1"/>
      </w:pPr>
      <w:r>
        <w:t>OCTAVE: familia OCTAVE (clásico, Allegro, FORTE).</w:t>
      </w:r>
    </w:p>
    <w:p>
      <w:pPr>
        <w:pStyle w:val="Heading2"/>
        <w:keepNext/>
        <w:keepLines/>
      </w:pPr>
      <w:r>
        <w:rPr>
          <w:color w:val="0066CC"/>
        </w:rPr>
        <w:t>2.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/ Objetivo GQM resumido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/ NIST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RGPD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OCTAVE / otros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de servicios esenciales digitalizados – Evaluar identificación y gestión de activos críticos nacionales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art. 10, Anexo II (inventario de activos); ENS principios de gestión basada en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arts. 20–21 (gestión de riesgos y medidas técnicas); requisitos para operadores esenciales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Anexo A.5.9 (inventario de activos), NIST CSF ID.AM (Asset Management)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Allegro (perfilado de activos y contenedores)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El indicador materializa la exigencia de identificar activos que sostienen servicios esenciales y analizarlos como base del riesgo.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Cobertura ENS en administraciones – Medir implantación ENS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RD 311/2022 completo; Anexo II (medidas por categoría)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(extensión de obligaciones a operadores públicos)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(SGSI en AA.PP. que adopten ISO además de ENS)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clásico/FORTE (gestión de riesgos institucional)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La métrica refleja cumplimiento del marco ENS, utilizado como referencia nacional para AA.PP. y muchos proveedores.[web:90][web:87]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Protección de datos personales – Cobertura EIPD y medidas ENS/RGPD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art. 4 (seguridad de la información), Anexo II (medidas de protección)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(protección de datos como componente del riesgo)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Anexo A.5–A.8 (controles de protección de información)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RGPD arts. 24, 25, 32–34 (responsabilidad proactiva, seguridad del tratamiento, notificación de brechas)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(evaluación de impacto y criticidad de activos de datos)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Conecta gestión de riesgo ENS/ISO con obligaciones RGPD sobre seguridad de datos y brechas.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Incidentes por sector – Distribución sectorial de riesgo materializado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art. 31–32 (registro y notificación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arts. 23–24 (notificación de incidentes significativos)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27035 (gestión de incidentes), NIST CSF DE/RS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RGPD art. 33 (notificación de violaciones de datos)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(identificación de amenazas y materialización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central para cumplir y monitorizar obligaciones de incidente, priorizando sectores.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Tendencia de incidentes nacionales – Evolución de exposición global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art. 10 (reevaluación continua), informes INES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(monitorización de riesgos a nivel de entidad y sector)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cl. 9 (evaluación del desempeño); NIST CSF ME (Monitoring and Evaluation)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ENISA Threat Landscape, OCDE medición de ciberseguridad[web:51][web:19]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 macro que evalúa si el conjunto del sistema está conteniendo o no la frecuencia de incidentes.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Amenazas contra disponibilidad – Prevalencia de ataques a disponibilidad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principios de disponibilidad y continuidad; Anexo II medidas de continuidad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(disrupción de servicios como criterio de incidente significativo)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22301 (continuidad), NIST CSF PR.PT/RS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(impacto en disponibilidad como criterio de impacto clave)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Alineado con el foco en continuidad de servicios esenciales en ENS, NIS2 y marcos de resiliencia.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Sistemas vulnerables detectados – Superficie de exposición técnica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Anexo II (gestión de vulnerabilidades y configuración)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(medidas de gestión de riesgos, incluyendo vulnerabilidades)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Anexo A.8.8 (gestión de vulnerabilidades), NIST CSF PR.IP-12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(identificación de vulnerabilidades de activos)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directa de cumplimiento de prácticas de gestión de vulnerabilidades exigidas por ENS/ISO/NIS2.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Exposición de servicios esenciales – Vulnerabilidades críticas sin parchear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art. 10, Anexo II (medidas reforzadas para sistemas de alta criticidad)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(obligaciones reforzadas para entidades esenciales)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27001, NIST CSF PROTECT/DETECT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(priorización de riesgos de alto impacto)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Mide el gap entre criticidad de servicios esenciales y estado de parcheo; altamente relevante regulatoriamente.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Brechas de capacidad – Sectores en "zona de riesgo" (crit. alta, madurez baja)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(necesidad de recursos adecuados), planes nacionales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(capacidad organizativa, recursos, supervisión)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ENISA NIS360, EU-Cybersecurity Index[web:19][web:21]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FORTE (capacidad organizativa y programa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Conecta la evaluación de madurez sectorial con requisitos de capacidad y supervisión.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Gobernanza y liderazgo – Existencia y actividad de órganos de gobierno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art. 7 (función de seguridad, roles y responsabilidades)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20 (responsabilidad de la dirección)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cl. 5 (liderazgo), NIST CSF GOV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FORTE (implicación de la alta dirección)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Mide hasta qué punto las obligaciones de liderazgo y gobernanza se han traducido en estructuras reales.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Capacidad de respuesta nacional – Tiempo de respuesta de CSIRTs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(coordinación con CCN-CERT/INCIBE-CERT), protocolos de notificación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(CSIRTs nacionales, capacidades de respuesta)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27035, NIST CSF 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(planes de respuesta y mitigación)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 clave para evaluar la efectividad real de los CSIRTs nacionales frente a incidentes.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Cultura y formación – Programas de concienciación y formación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principios de seguridad integral y concienciación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(formación del personal, cultura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27001 cl. 7.2 (competencia), NIST CSF PR.AT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OCDE/ENISA sobre capacidad y cultura[web:19][web:51]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Alinea competencias humanas con requisitos normativos de formación y cultura de seguridad.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Pérdidas económicas estimadas – Impacto económico agregado de ciberincidentes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(análisis de impacto), Plan Nacional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(evaluación de impacto de incidentes significativos)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OCDE – medición de impacto económico de ciberincidentes[web:51][web:92]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(criterios de impacto financiero)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Conecta medición económica con factores de riesgo y priorización de inversiones.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Continuidad de servicios esenciales – Interrupciones significativas por ciberincidentes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ENS (continuidad y disponibilidad de servicios), Esquema de Seguridad de la Administración de Justicia[web:53]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(servicios esenciales y 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ISO 22301, NIST CSF ID/PR/RS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OCTAVE (impacto en continuidad como criterio central)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de resultado para evaluar el cumplimiento del mandato de mantener servicios esenciales.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15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Confianza digital – Percepción de confianza en servicios digitales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Estrategia Nacional de Ciberseguridad (objetivos de confianza y uso seguro)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NIS2 (confianza en redes y sistemas como objetivo general)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Encuestas ENISA, OCDE sobre confianza digital[web:51][web:19]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Indicador "socio‑técnico" que enlaza el desempeño de la ciberseguridad con la adopción y confianza en servicios digitales.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del mapeo en el ciclo GQM</w:t>
      </w:r>
    </w:p>
    <w:p>
      <w:pPr>
        <w:pStyle w:val="ListBullet"/>
        <w:keepLines w:val="1"/>
        <w:keepNext w:val="1"/>
        <w:widowControl w:val="1"/>
      </w:pPr>
      <w:r>
        <w:t>Cada objetivo GQM se puede anotar con las referencias normativas que lo respaldan, reforzando su legitimidad ante decisores y auditores.</w:t>
      </w:r>
    </w:p>
    <w:p>
      <w:pPr>
        <w:pStyle w:val="ListBullet"/>
        <w:keepLines w:val="1"/>
        <w:keepNext w:val="1"/>
        <w:widowControl w:val="1"/>
      </w:pPr>
      <w:r>
        <w:t>Las métricas que se vinculan a múltiples marcos (ENS, NIS2, ISO) adquieren prioridad, al reducir simultáneamente riesgo operativo y riesgo de cumplimiento.[web:60][web:84][web:93]</w:t>
      </w:r>
    </w:p>
    <w:p>
      <w:pPr>
        <w:pStyle w:val="ListBullet"/>
        <w:keepLines w:val="1"/>
        <w:widowControl w:val="1"/>
      </w:pPr>
      <w:r>
        <w:t>El mapeo facilita la elaboración de informes de adecuación orientados a reguladores, demostrando cómo el sistema nacional de indicadores OCTAVE GQM+PRAGMATIC responde al ecosistema normativo vigente.</w:t>
      </w:r>
    </w:p>
    <w:p>
      <w:r>
        <w:t>En resumen, este mapeo evita que los indicadores parezcan ocurrencias aisladas: los sitúa, con nombre y apellidos, en el tejido normativo que regula la ciberseguridad nacional.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