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en entorno GQM + PRAGMATIC (descripción Markdown)</w:t>
      </w:r>
    </w:p>
    <w:p>
      <w:r>
        <w:t>Especificación de un libro Excel que integra el cálculo del Índice Global de Madurez (IGM) y del ROI/ROSI, vinculando cada métrica a sus objetivos GQM y a su evaluación PRAGMATIC.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recomiendan, al menos, las siguientes hojas:</w:t>
      </w:r>
    </w:p>
    <w:p>
      <w:pPr>
        <w:pStyle w:val="ListNumber"/>
        <w:keepLines w:val="1"/>
        <w:keepNext w:val="1"/>
        <w:widowControl w:val="1"/>
      </w:pPr>
      <w:r>
        <w:t>Respuestas_Encuesta – Respuestas de las organizaciones/unidades a la encuesta OCTAVE nacional.</w:t>
      </w:r>
    </w:p>
    <w:p>
      <w:pPr>
        <w:pStyle w:val="ListNumber"/>
        <w:keepLines w:val="1"/>
        <w:keepNext w:val="1"/>
        <w:widowControl w:val="1"/>
      </w:pPr>
      <w:r>
        <w:t>Indicadores_GQM – Catálogo de indicadores, objetivos GQM y métricas asociadas.</w:t>
      </w:r>
    </w:p>
    <w:p>
      <w:pPr>
        <w:pStyle w:val="ListNumber"/>
        <w:keepLines w:val="1"/>
        <w:keepNext w:val="1"/>
        <w:widowControl w:val="1"/>
      </w:pPr>
      <w:r>
        <w:t>Dominios_IGM – Cálculo de puntuaciones por dominio de madurez y del IGM global.</w:t>
      </w:r>
    </w:p>
    <w:p>
      <w:pPr>
        <w:pStyle w:val="ListNumber"/>
        <w:keepLines w:val="1"/>
        <w:keepNext w:val="1"/>
        <w:widowControl w:val="1"/>
      </w:pPr>
      <w:r>
        <w:t>PRAGMATIC – Puntuaciones PRAGMATIC por métrica.</w:t>
      </w:r>
    </w:p>
    <w:p>
      <w:pPr>
        <w:pStyle w:val="ListNumber"/>
        <w:keepLines w:val="1"/>
        <w:keepNext w:val="1"/>
        <w:widowControl w:val="1"/>
      </w:pPr>
      <w:r>
        <w:t>ROI_ROSI – Cálculo de pérdidas esperadas, reducción de riesgo y ROI/ROSI.</w:t>
      </w:r>
    </w:p>
    <w:p>
      <w:pPr>
        <w:pStyle w:val="ListNumber"/>
        <w:keepLines w:val="1"/>
        <w:widowControl w:val="1"/>
      </w:pPr>
      <w:r>
        <w:t>Parametros – Pesos, umbrales, rangos e hipótesis.</w:t>
      </w:r>
    </w:p>
    <w:p>
      <w:pPr>
        <w:pStyle w:val="Heading2"/>
        <w:keepNext/>
        <w:keepLines/>
      </w:pPr>
      <w:r>
        <w:rPr>
          <w:color w:val="0066CC"/>
        </w:rPr>
        <w:t>2. Hoja Respuestas_Encuesta</w:t>
      </w:r>
    </w:p>
    <w:p>
      <w:r>
        <w:t>Similar al diseño anterior, cada fila representa una organización/unidad, y cada columna una pregunta de la encuesta (codificada 1–5 u otras escalas). Esta hoja alimenta principalmente el cálculo del IGM.</w:t>
      </w:r>
    </w:p>
    <w:p>
      <w:r>
        <w:t>Columnas mínimas:</w:t>
      </w:r>
    </w:p>
    <w:p>
      <w:pPr>
        <w:pStyle w:val="ListBullet"/>
        <w:keepLines w:val="1"/>
        <w:keepNext w:val="1"/>
        <w:widowControl w:val="1"/>
      </w:pPr>
      <w:r>
        <w:t>ID_Org, Nombre_Org, Sector, Tamaño, Tipo_Org.</w:t>
      </w:r>
    </w:p>
    <w:p>
      <w:pPr>
        <w:pStyle w:val="ListBullet"/>
        <w:keepLines w:val="1"/>
        <w:widowControl w:val="1"/>
      </w:pPr>
      <w:r>
        <w:t>Columnas de respuestas para cada bloque (B–J) de la encuesta.</w:t>
      </w:r>
    </w:p>
    <w:p>
      <w:pPr>
        <w:pStyle w:val="Heading2"/>
        <w:keepNext/>
        <w:keepLines/>
      </w:pPr>
      <w:r>
        <w:rPr>
          <w:color w:val="0066CC"/>
        </w:rPr>
        <w:t>3. Hoja Indicadores_GQM</w:t>
      </w:r>
    </w:p>
    <w:p>
      <w:r>
        <w:t>Esta hoja actúa como catálogo maestro de indicadores nacionales.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ID_Indicador – 1 a 15 (según listado OCTAVE nacional).</w:t>
      </w:r>
    </w:p>
    <w:p>
      <w:pPr>
        <w:pStyle w:val="ListBullet"/>
        <w:keepLines w:val="1"/>
        <w:keepNext w:val="1"/>
        <w:widowControl w:val="1"/>
      </w:pPr>
      <w:r>
        <w:t>Nombre_Indicador – Por ejemplo, "Inventario de servicios esenciales digitalizados".</w:t>
      </w:r>
    </w:p>
    <w:p>
      <w:pPr>
        <w:pStyle w:val="ListBullet"/>
        <w:keepLines w:val="1"/>
        <w:keepNext w:val="1"/>
        <w:widowControl w:val="1"/>
      </w:pPr>
      <w:r>
        <w:t>Objetivo_GQM – Descripción breve del objetivo (Goal) asociado.</w:t>
      </w:r>
    </w:p>
    <w:p>
      <w:pPr>
        <w:pStyle w:val="ListBullet"/>
        <w:keepLines w:val="1"/>
        <w:keepNext w:val="1"/>
        <w:widowControl w:val="1"/>
      </w:pPr>
      <w:r>
        <w:t>Preguntas_GQM – Resumen de las principales preguntas (Question) que responden a ese objetivo.</w:t>
      </w:r>
    </w:p>
    <w:p>
      <w:pPr>
        <w:pStyle w:val="ListBullet"/>
        <w:keepLines w:val="1"/>
        <w:keepNext w:val="1"/>
        <w:widowControl w:val="1"/>
      </w:pPr>
      <w:r>
        <w:t>Metrica_Principal – Nombre de la métrica principal (por ejemplo, %SE_con_inventario).</w:t>
      </w:r>
    </w:p>
    <w:p>
      <w:pPr>
        <w:pStyle w:val="ListBullet"/>
        <w:keepLines w:val="1"/>
        <w:keepNext w:val="1"/>
        <w:widowControl w:val="1"/>
      </w:pPr>
      <w:r>
        <w:t>Formula – Fórmula conceptual (no necesariamente en sintaxis Excel).</w:t>
      </w:r>
    </w:p>
    <w:p>
      <w:pPr>
        <w:pStyle w:val="ListBullet"/>
        <w:keepLines w:val="1"/>
        <w:keepNext w:val="1"/>
        <w:widowControl w:val="1"/>
      </w:pPr>
      <w:r>
        <w:t>Unidad – Porcentaje, número absoluto, horas, euros, etc.</w:t>
      </w:r>
    </w:p>
    <w:p>
      <w:pPr>
        <w:pStyle w:val="ListBullet"/>
        <w:keepLines w:val="1"/>
        <w:keepNext w:val="1"/>
        <w:widowControl w:val="1"/>
      </w:pPr>
      <w:r>
        <w:t>Fuente_Datos – INCIBE, CCN-CERT, ENS, encuestas, etc.[web:87][web:19][web:21]</w:t>
      </w:r>
    </w:p>
    <w:p>
      <w:pPr>
        <w:pStyle w:val="ListBullet"/>
        <w:keepLines w:val="1"/>
        <w:keepNext w:val="1"/>
        <w:widowControl w:val="1"/>
      </w:pPr>
      <w:r>
        <w:t>Frecuencia – Trimestral, anual, continua.</w:t>
      </w:r>
    </w:p>
    <w:p>
      <w:pPr>
        <w:pStyle w:val="ListBullet"/>
        <w:keepLines w:val="1"/>
        <w:widowControl w:val="1"/>
      </w:pPr>
      <w:r>
        <w:t>Dominio_IGM – Dominio de madurez al que se asocia principalmente (Gobernanza, Activos, etc.).</w:t>
      </w:r>
    </w:p>
    <w:p>
      <w:r>
        <w:t>Ejemplo de fila: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Nombre_Indicador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Objetivo_GQM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Metrica_Principal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Fuente_Datos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Dominio_IGM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Inventario de servicios esenciales digitalizados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Evaluar identificación de activos TIC críticos en servicios esenciales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%SE_con_inventario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Nº SE con inventario TIC / Nº total SE × 100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Registro nacional de operadores esenciales, informes sectoriales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Anual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Activos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Hoja Dominios_IGM</w:t>
      </w:r>
    </w:p>
    <w:p>
      <w:pPr>
        <w:pStyle w:val="Heading3"/>
        <w:keepNext/>
        <w:keepLines/>
      </w:pPr>
      <w:r>
        <w:t>4.1. Dominios y pesos</w:t>
      </w:r>
    </w:p>
    <w:p>
      <w:r>
        <w:t>Incluir una tabla con:</w:t>
      </w:r>
    </w:p>
    <w:p>
      <w:pPr>
        <w:pStyle w:val="ListBullet"/>
        <w:keepLines w:val="1"/>
        <w:keepNext w:val="1"/>
        <w:widowControl w:val="1"/>
      </w:pPr>
      <w:r>
        <w:t>Dominio – Gobernanza, Activos, Riesgo, Vulnerabilidades, Incidentes, Capacidades, Cumplimiento, Métricas.</w:t>
      </w:r>
    </w:p>
    <w:p>
      <w:pPr>
        <w:pStyle w:val="ListBullet"/>
        <w:keepLines w:val="1"/>
        <w:widowControl w:val="1"/>
      </w:pPr>
      <w:r>
        <w:t>Peso_IGM – Peso relativo de cada dominio en el IGM global (que sumen 1).</w:t>
      </w:r>
    </w:p>
    <w:p>
      <w:pPr>
        <w:pStyle w:val="Heading3"/>
        <w:keepNext/>
        <w:keepLines/>
      </w:pPr>
      <w:r>
        <w:t>4.2. Cálculo de puntuaciones por dominio</w:t>
      </w:r>
    </w:p>
    <w:p>
      <w:r>
        <w:t>Para cada organización (</w:t>
      </w:r>
      <w:r>
        <w:rPr>
          <w:rFonts w:ascii="Courier New" w:hAnsi="Courier New"/>
          <w:sz w:val="18"/>
        </w:rPr>
        <w:t>ID_Org</w:t>
      </w:r>
      <w:r>
        <w:t>), se calcularán:</w:t>
      </w:r>
    </w:p>
    <w:p>
      <w:pPr>
        <w:pStyle w:val="ListBullet"/>
        <w:keepLines w:val="1"/>
        <w:widowControl w:val="1"/>
      </w:pPr>
      <w:r>
        <w:t>Gobernanza_Media, Activos_Media, etc., como la media de las respuestas de las preguntas de la encuesta asociadas a cada dominio.</w:t>
      </w:r>
    </w:p>
    <w:p>
      <w:r>
        <w:t xml:space="preserve">Ejemplo de fórmula (en Excel en español) para </w:t>
      </w:r>
      <w:r>
        <w:rPr>
          <w:rFonts w:ascii="Courier New" w:hAnsi="Courier New"/>
          <w:sz w:val="18"/>
        </w:rPr>
        <w:t>Gobernanza_Media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=PROMEDIO(Respuestas_Encuesta!B2:Respuestas_Encuesta!B10)</w:t>
        <w:br/>
      </w:r>
    </w:p>
    <w:p>
      <w:r>
        <w:t>(ajustando el rango a las columnas correspondientes al dominio en cuestión).</w:t>
      </w:r>
    </w:p>
    <w:p>
      <w:pPr>
        <w:pStyle w:val="Heading3"/>
        <w:keepNext/>
        <w:keepLines/>
      </w:pPr>
      <w:r>
        <w:t>4.3. Normalización 0–100 e IGM global</w:t>
      </w:r>
    </w:p>
    <w:p>
      <w:r>
        <w:t>Para cada dominio X: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=X_Norm = (X_Media - 1)/4*100</w:t>
        <w:br/>
      </w:r>
    </w:p>
    <w:p>
      <w:r>
        <w:t>El IGM global se calcula con una suma ponderada: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=SUMAPRODUCTO(</w:t>
        <w:br/>
        <w:t xml:space="preserve">  (Gobernanza_Norm:Metricas_Norm);</w:t>
        <w:br/>
        <w:t xml:space="preserve">  (Pesos_Dominios)</w:t>
        <w:br/>
        <w:t>)</w:t>
        <w:br/>
      </w:r>
    </w:p>
    <w:p>
      <w:r>
        <w:t xml:space="preserve">Donde </w:t>
      </w:r>
      <w:r>
        <w:rPr>
          <w:rFonts w:ascii="Courier New" w:hAnsi="Courier New"/>
          <w:sz w:val="18"/>
        </w:rPr>
        <w:t>Pesos_Dominios</w:t>
      </w:r>
      <w:r>
        <w:t xml:space="preserve"> es el rango de pesos definidos para cada dominio.</w:t>
      </w:r>
    </w:p>
    <w:p>
      <w:pPr>
        <w:pStyle w:val="Heading2"/>
        <w:keepNext/>
        <w:keepLines/>
      </w:pPr>
      <w:r>
        <w:rPr>
          <w:color w:val="0066CC"/>
        </w:rPr>
        <w:t>5. Hoja PRAGMATIC</w:t>
      </w:r>
    </w:p>
    <w:p>
      <w:r>
        <w:t>En esta hoja se recogen las puntuaciones PRAGMATIC para cada métrica (no por organización, sino globalmente como calidad de la métrica).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ID_Indicador.</w:t>
      </w:r>
    </w:p>
    <w:p>
      <w:pPr>
        <w:pStyle w:val="ListBullet"/>
        <w:keepLines w:val="1"/>
        <w:keepNext w:val="1"/>
        <w:widowControl w:val="1"/>
      </w:pPr>
      <w:r>
        <w:t>Metrica_Principal.</w:t>
      </w:r>
    </w:p>
    <w:p>
      <w:pPr>
        <w:pStyle w:val="ListBullet"/>
        <w:keepLines w:val="1"/>
        <w:keepNext w:val="1"/>
        <w:widowControl w:val="1"/>
      </w:pPr>
      <w:r>
        <w:t>P_Predictiva.</w:t>
      </w:r>
    </w:p>
    <w:p>
      <w:pPr>
        <w:pStyle w:val="ListBullet"/>
        <w:keepLines w:val="1"/>
        <w:keepNext w:val="1"/>
        <w:widowControl w:val="1"/>
      </w:pPr>
      <w:r>
        <w:t>R_Relevante.</w:t>
      </w:r>
    </w:p>
    <w:p>
      <w:pPr>
        <w:pStyle w:val="ListBullet"/>
        <w:keepLines w:val="1"/>
        <w:keepNext w:val="1"/>
        <w:widowControl w:val="1"/>
      </w:pPr>
      <w:r>
        <w:t>A_Accionable.</w:t>
      </w:r>
    </w:p>
    <w:p>
      <w:pPr>
        <w:pStyle w:val="ListBullet"/>
        <w:keepLines w:val="1"/>
        <w:keepNext w:val="1"/>
        <w:widowControl w:val="1"/>
      </w:pPr>
      <w:r>
        <w:t>G_Genuina.</w:t>
      </w:r>
    </w:p>
    <w:p>
      <w:pPr>
        <w:pStyle w:val="ListBullet"/>
        <w:keepLines w:val="1"/>
        <w:keepNext w:val="1"/>
        <w:widowControl w:val="1"/>
      </w:pPr>
      <w:r>
        <w:t>M_Significativa.</w:t>
      </w:r>
    </w:p>
    <w:p>
      <w:pPr>
        <w:pStyle w:val="ListBullet"/>
        <w:keepLines w:val="1"/>
        <w:keepNext w:val="1"/>
        <w:widowControl w:val="1"/>
      </w:pPr>
      <w:r>
        <w:t>A_Precisa.</w:t>
      </w:r>
    </w:p>
    <w:p>
      <w:pPr>
        <w:pStyle w:val="ListBullet"/>
        <w:keepLines w:val="1"/>
        <w:keepNext w:val="1"/>
        <w:widowControl w:val="1"/>
      </w:pPr>
      <w:r>
        <w:t>T_Oportuna.</w:t>
      </w:r>
    </w:p>
    <w:p>
      <w:pPr>
        <w:pStyle w:val="ListBullet"/>
        <w:keepLines w:val="1"/>
        <w:keepNext w:val="1"/>
        <w:widowControl w:val="1"/>
      </w:pPr>
      <w:r>
        <w:t>I_Independiente.</w:t>
      </w:r>
    </w:p>
    <w:p>
      <w:pPr>
        <w:pStyle w:val="ListBullet"/>
        <w:keepLines w:val="1"/>
        <w:keepNext w:val="1"/>
        <w:widowControl w:val="1"/>
      </w:pPr>
      <w:r>
        <w:t>C_Rentable.</w:t>
      </w:r>
    </w:p>
    <w:p>
      <w:pPr>
        <w:pStyle w:val="ListBullet"/>
        <w:keepLines w:val="1"/>
        <w:widowControl w:val="1"/>
      </w:pPr>
      <w:r>
        <w:t>Puntuacion_Total (por ejemplo, suma o media de las 9 dimensiones).</w:t>
      </w:r>
    </w:p>
    <w:p>
      <w:r>
        <w:t xml:space="preserve">Ejemplo de fórmula para </w:t>
      </w:r>
      <w:r>
        <w:rPr>
          <w:rFonts w:ascii="Courier New" w:hAnsi="Courier New"/>
          <w:sz w:val="18"/>
        </w:rPr>
        <w:t>Puntuacion_Total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=P_Predictiva + R_Relevante + A_Accionable + G_Genuina + M_Significativa + A_Precisa + T_Oportuna + I_Independiente + C_Rentable</w:t>
        <w:br/>
      </w:r>
    </w:p>
    <w:p>
      <w:r>
        <w:t xml:space="preserve">La hoja se usa para </w:t>
      </w:r>
      <w:r>
        <w:rPr>
          <w:b/>
        </w:rPr>
        <w:t>documentar y revisar periódicamente</w:t>
      </w:r>
      <w:r>
        <w:t xml:space="preserve"> la calidad de las métricas, no para cálculos por organización.[web:83][web:86][web:92]</w:t>
      </w:r>
    </w:p>
    <w:p>
      <w:pPr>
        <w:pStyle w:val="Heading2"/>
        <w:keepNext/>
        <w:keepLines/>
      </w:pPr>
      <w:r>
        <w:rPr>
          <w:color w:val="0066CC"/>
        </w:rPr>
        <w:t>6. Hoja ROI_ROSI</w:t>
      </w:r>
    </w:p>
    <w:p>
      <w:pPr>
        <w:pStyle w:val="Heading3"/>
        <w:keepNext/>
        <w:keepLines/>
      </w:pPr>
      <w:r>
        <w:t>6.1. Datos de entrada</w:t>
      </w:r>
    </w:p>
    <w:p>
      <w:r>
        <w:t>Para cada organización (</w:t>
      </w:r>
      <w:r>
        <w:rPr>
          <w:rFonts w:ascii="Courier New" w:hAnsi="Courier New"/>
          <w:sz w:val="18"/>
        </w:rPr>
        <w:t>ID_Org</w:t>
      </w:r>
      <w:r>
        <w:t>):</w:t>
      </w:r>
    </w:p>
    <w:p>
      <w:pPr>
        <w:pStyle w:val="ListBullet"/>
        <w:keepLines w:val="1"/>
        <w:keepNext w:val="1"/>
        <w:widowControl w:val="1"/>
      </w:pPr>
      <w:r>
        <w:t>Coste_Anual_Seguridad – Gastos e inversiones en ciberseguridad.</w:t>
      </w:r>
    </w:p>
    <w:p>
      <w:pPr>
        <w:pStyle w:val="ListBullet"/>
        <w:keepLines w:val="1"/>
        <w:keepNext w:val="1"/>
        <w:widowControl w:val="1"/>
      </w:pPr>
      <w:r>
        <w:t>Prob_Antes, Prob_Despues – Probabilidades anuales estimadas de incidente grave antes y después de las medidas (pueden derivarse de indicadores de incidentes y vulnerabilidades).[web:59][web:65][web:67][web:70]</w:t>
      </w:r>
    </w:p>
    <w:p>
      <w:pPr>
        <w:pStyle w:val="ListBullet"/>
        <w:keepLines w:val="1"/>
        <w:keepNext w:val="1"/>
        <w:widowControl w:val="1"/>
      </w:pPr>
      <w:r>
        <w:t>Impacto_Medio – Impacto económico medio estimado de un incidente grave.</w:t>
      </w:r>
    </w:p>
    <w:p>
      <w:pPr>
        <w:pStyle w:val="ListBullet"/>
        <w:keepLines w:val="1"/>
        <w:widowControl w:val="1"/>
      </w:pPr>
      <w:r>
        <w:t>Beneficios_Intangibles – Estimación monetaria de beneficios no directamente cuantificables (opcional).</w:t>
      </w:r>
    </w:p>
    <w:p>
      <w:pPr>
        <w:pStyle w:val="Heading3"/>
        <w:keepNext/>
        <w:keepLines/>
      </w:pPr>
      <w:r>
        <w:t>6.2. Pérdida esperada y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AE_Antes   = Prob_Antes*Impacto_Medio</w:t>
        <w:br/>
        <w:t>AE_Despues = Prob_Despues*Impacto_Medio</w:t>
        <w:br/>
        <w:t>Reduccion_Riesgo = AE_Antes - AE_Despues</w:t>
        <w:br/>
        <w:t>ROSI = (Reduccion_Riesgo - Coste_Anual_Seguridad) / Coste_Anual_Seguridad</w:t>
        <w:br/>
      </w:r>
    </w:p>
    <w:p>
      <w:pPr>
        <w:pStyle w:val="Heading3"/>
        <w:keepNext/>
        <w:keepLines/>
      </w:pPr>
      <w:r>
        <w:t>6.3. ROI ampliado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ROI_Ampliado = (Reduccion_Riesgo + Beneficios_Intangibles - Coste_Anual_Seguridad) / Coste_Anual_Seguridad</w:t>
        <w:br/>
      </w:r>
    </w:p>
    <w:p>
      <w:pPr>
        <w:pStyle w:val="Heading2"/>
        <w:keepNext/>
        <w:keepLines/>
      </w:pPr>
      <w:r>
        <w:rPr>
          <w:color w:val="0066CC"/>
        </w:rPr>
        <w:t>7. Hoja Parametros</w:t>
      </w:r>
    </w:p>
    <w:p>
      <w:r>
        <w:t>Contendrá:</w:t>
      </w:r>
    </w:p>
    <w:p>
      <w:pPr>
        <w:pStyle w:val="ListBullet"/>
        <w:keepLines w:val="1"/>
        <w:keepNext w:val="1"/>
        <w:widowControl w:val="1"/>
      </w:pPr>
      <w:r>
        <w:t>Pesos de dominios (Peso_IGM).</w:t>
      </w:r>
    </w:p>
    <w:p>
      <w:pPr>
        <w:pStyle w:val="ListBullet"/>
        <w:keepLines w:val="1"/>
        <w:keepNext w:val="1"/>
        <w:widowControl w:val="1"/>
      </w:pPr>
      <w:r>
        <w:t>Rangos de interpretación del IGM (0–20 muy bajo, etc.).</w:t>
      </w:r>
    </w:p>
    <w:p>
      <w:pPr>
        <w:pStyle w:val="ListBullet"/>
        <w:keepLines w:val="1"/>
        <w:keepNext w:val="1"/>
        <w:widowControl w:val="1"/>
      </w:pPr>
      <w:r>
        <w:t>Supuestos por defecto de probabilidad e impacto para aproximar AE cuando la organización no disponga de datos propios, basados en estudios sectoriales (ENISA, OCDE, etc.).[web:51][web:19]</w:t>
      </w:r>
    </w:p>
    <w:p>
      <w:pPr>
        <w:pStyle w:val="ListBullet"/>
        <w:keepLines w:val="1"/>
        <w:widowControl w:val="1"/>
      </w:pPr>
      <w:r>
        <w:t>Reglas para usar las puntuaciones PRAGMATIC (por ejemplo, umbral mínimo de calidad para que una métrica entre en el IGM).</w:t>
      </w:r>
    </w:p>
    <w:p>
      <w:pPr>
        <w:pStyle w:val="Heading2"/>
        <w:keepNext/>
        <w:keepLines/>
      </w:pPr>
      <w:r>
        <w:rPr>
          <w:color w:val="0066CC"/>
        </w:rPr>
        <w:t>8. Buenas prácticas</w:t>
      </w:r>
    </w:p>
    <w:p>
      <w:pPr>
        <w:pStyle w:val="ListBullet"/>
        <w:keepLines w:val="1"/>
        <w:keepNext w:val="1"/>
        <w:widowControl w:val="1"/>
      </w:pPr>
      <w:r>
        <w:t>Versionar el libro (v1.0, v1.1…) y documentar cambios en fórmulas, pesos o supuestos.</w:t>
      </w:r>
    </w:p>
    <w:p>
      <w:pPr>
        <w:pStyle w:val="ListBullet"/>
        <w:keepLines w:val="1"/>
        <w:keepNext w:val="1"/>
        <w:widowControl w:val="1"/>
      </w:pPr>
      <w:r>
        <w:t>Proteger con contraseña las hojas con fórmulas clave (Dominios_IGM, ROI_ROSI, PRAGMATIC).</w:t>
      </w:r>
    </w:p>
    <w:p>
      <w:pPr>
        <w:pStyle w:val="ListBullet"/>
        <w:keepLines w:val="1"/>
        <w:widowControl w:val="1"/>
      </w:pPr>
      <w:r>
        <w:t>Añadir gráficos (radar de dominios, barras de IGM, dispersión IGM vs ROSI) para facilitar el reporte ejecutivo.</w:t>
      </w:r>
    </w:p>
    <w:p>
      <w:r>
        <w:t xml:space="preserve">El resultado es un libro que no solo calcula números, sino que </w:t>
      </w:r>
      <w:r>
        <w:rPr>
          <w:b/>
        </w:rPr>
        <w:t>explicita la lógica</w:t>
      </w:r>
      <w:r>
        <w:t xml:space="preserve"> que los conecta con objetivos GQM y con la calidad PRAGMATIC de las métricas, evitando que el IGM y el ROI se conviertan en cajas negras poco confiables.[web:79][web:82][web:83][web:86]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