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(descripción Markdown)</w:t>
      </w:r>
    </w:p>
    <w:p>
      <w:r>
        <w:t>Especificación de hojas, columnas y fórmulas para implementar en Excel (o herramienta equivalente) el cálculo del Índice Global de Madurez (IGM) y del ROI/ROSI de ciberseguridad.</w:t>
      </w:r>
    </w:p>
    <w:p>
      <w:pPr>
        <w:pStyle w:val="Heading2"/>
        <w:keepNext/>
        <w:keepLines/>
      </w:pPr>
      <w:r>
        <w:rPr>
          <w:color w:val="0066CC"/>
        </w:rPr>
        <w:t>1. Estructura general del libro de Excel</w:t>
      </w:r>
    </w:p>
    <w:p>
      <w:r>
        <w:t>Se recomienda un libro con, al menos, las siguientes hojas:</w:t>
      </w:r>
    </w:p>
    <w:p>
      <w:pPr>
        <w:pStyle w:val="ListNumber"/>
        <w:keepLines w:val="1"/>
        <w:keepNext w:val="1"/>
        <w:widowControl w:val="1"/>
      </w:pPr>
      <w:r>
        <w:t>Respuestas – Contiene las respuestas codificadas de la encuesta para cada organización/unidad.</w:t>
      </w:r>
    </w:p>
    <w:p>
      <w:pPr>
        <w:pStyle w:val="ListNumber"/>
        <w:keepLines w:val="1"/>
        <w:keepNext w:val="1"/>
        <w:widowControl w:val="1"/>
      </w:pPr>
      <w:r>
        <w:t>Dominios_IGM – Calcula las puntuaciones medias por dominio y el IGM global.</w:t>
      </w:r>
    </w:p>
    <w:p>
      <w:pPr>
        <w:pStyle w:val="ListNumber"/>
        <w:keepLines w:val="1"/>
        <w:keepNext w:val="1"/>
        <w:widowControl w:val="1"/>
      </w:pPr>
      <w:r>
        <w:t>ROI_ROSI – Calcula las métricas económicas (pérdidas esperadas, ROSI, ROI ampliado).</w:t>
      </w:r>
    </w:p>
    <w:p>
      <w:pPr>
        <w:pStyle w:val="ListNumber"/>
        <w:keepLines w:val="1"/>
        <w:widowControl w:val="1"/>
      </w:pPr>
      <w:r>
        <w:t>Parametros – Contiene tablas de pesos, rangos y configuraciones.</w:t>
      </w:r>
    </w:p>
    <w:p>
      <w:pPr>
        <w:pStyle w:val="Heading2"/>
        <w:keepNext/>
        <w:keepLines/>
      </w:pPr>
      <w:r>
        <w:rPr>
          <w:color w:val="0066CC"/>
        </w:rPr>
        <w:t>2. Hoja "Respuestas"</w:t>
      </w:r>
    </w:p>
    <w:p>
      <w:r>
        <w:t xml:space="preserve">Cada fila representa una </w:t>
      </w:r>
      <w:r>
        <w:rPr>
          <w:b/>
        </w:rPr>
        <w:t>organización</w:t>
      </w:r>
      <w:r>
        <w:t xml:space="preserve"> o </w:t>
      </w:r>
      <w:r>
        <w:rPr>
          <w:b/>
        </w:rPr>
        <w:t>unidad de análisis</w:t>
      </w:r>
      <w:r>
        <w:t xml:space="preserve"> (por ejemplo, una filial o línea de negocio). Cada columna corresponde a una pregunta codificada.</w:t>
      </w:r>
    </w:p>
    <w:p>
      <w:pPr>
        <w:pStyle w:val="Heading3"/>
        <w:keepNext/>
        <w:keepLines/>
      </w:pPr>
      <w:r>
        <w:t>2.1. Columnas sugeridas</w:t>
      </w:r>
    </w:p>
    <w:p>
      <w:pPr>
        <w:pStyle w:val="ListBullet"/>
        <w:keepLines w:val="1"/>
        <w:keepNext w:val="1"/>
        <w:widowControl w:val="1"/>
      </w:pPr>
      <w:r>
        <w:t>ID_Org – Identificador único de la organización/unidad.</w:t>
      </w:r>
    </w:p>
    <w:p>
      <w:pPr>
        <w:pStyle w:val="ListBullet"/>
        <w:keepLines w:val="1"/>
        <w:keepNext w:val="1"/>
        <w:widowControl w:val="1"/>
      </w:pPr>
      <w:r>
        <w:t>Nombre_Org – Nombre descriptivo (opcional si se desea anonimizar).</w:t>
      </w:r>
    </w:p>
    <w:p>
      <w:pPr>
        <w:pStyle w:val="ListBullet"/>
        <w:keepLines w:val="1"/>
        <w:keepNext w:val="1"/>
        <w:widowControl w:val="1"/>
      </w:pPr>
      <w:r>
        <w:t>Sector – Código o descripción de sector.</w:t>
      </w:r>
    </w:p>
    <w:p>
      <w:pPr>
        <w:pStyle w:val="ListBullet"/>
        <w:keepLines w:val="1"/>
        <w:keepNext w:val="1"/>
        <w:widowControl w:val="1"/>
      </w:pPr>
      <w:r>
        <w:t>Tamaño – Categoría de tamaño (por ejemplo, "50-249", "250-999").</w:t>
      </w:r>
    </w:p>
    <w:p>
      <w:pPr>
        <w:pStyle w:val="ListBullet"/>
        <w:keepLines w:val="1"/>
        <w:widowControl w:val="1"/>
      </w:pPr>
      <w:r>
        <w:t>Tipo_Org – Operador esencial, administración, etc.</w:t>
      </w:r>
    </w:p>
    <w:p>
      <w:r>
        <w:t>Para las preguntas de madurez (Likert 1–5):</w:t>
      </w:r>
    </w:p>
    <w:p>
      <w:pPr>
        <w:pStyle w:val="ListBullet"/>
        <w:keepLines w:val="1"/>
        <w:keepNext w:val="1"/>
        <w:widowControl w:val="1"/>
      </w:pPr>
      <w:r>
        <w:t>B1_Estrategia – Puntuación 1–5 de la pregunta B.1.</w:t>
      </w:r>
    </w:p>
    <w:p>
      <w:pPr>
        <w:pStyle w:val="ListBullet"/>
        <w:keepLines w:val="1"/>
        <w:keepNext w:val="1"/>
        <w:widowControl w:val="1"/>
      </w:pPr>
      <w:r>
        <w:t>B2_Supervision – Puntuación 1–5 de la pregunta B.2.</w:t>
      </w:r>
    </w:p>
    <w:p>
      <w:pPr>
        <w:pStyle w:val="ListBullet"/>
        <w:keepLines w:val="1"/>
        <w:keepNext w:val="1"/>
        <w:widowControl w:val="1"/>
      </w:pPr>
      <w:r>
        <w:t>B3_Apetito_Riesgo – Puntuación 1–5 de la pregunta B.3.</w:t>
      </w:r>
    </w:p>
    <w:p>
      <w:pPr>
        <w:pStyle w:val="ListBullet"/>
        <w:keepLines w:val="1"/>
        <w:keepNext w:val="1"/>
        <w:widowControl w:val="1"/>
      </w:pPr>
      <w:r>
        <w:t>...</w:t>
      </w:r>
    </w:p>
    <w:p>
      <w:pPr>
        <w:pStyle w:val="ListBullet"/>
        <w:keepLines w:val="1"/>
        <w:widowControl w:val="1"/>
      </w:pPr>
      <w:r>
        <w:t>I5_Metricas_Avanzadas – Puntuación 1–5 de la pregunta I.5 (o un set de columnas si se desglosa).</w:t>
      </w:r>
    </w:p>
    <w:p>
      <w:r>
        <w:t xml:space="preserve">Las preguntas multi‑respuesta se representarán con </w:t>
      </w:r>
      <w:r>
        <w:rPr>
          <w:b/>
        </w:rPr>
        <w:t>columnas binarias</w:t>
      </w:r>
      <w:r>
        <w:t xml:space="preserve"> (0/1):</w:t>
      </w:r>
    </w:p>
    <w:p>
      <w:pPr>
        <w:pStyle w:val="ListBullet"/>
        <w:keepLines w:val="1"/>
        <w:widowControl w:val="1"/>
      </w:pPr>
      <w:r>
        <w:t>J2_Barrera_Presupuesto, J2_Barrera_Personal, etc.</w:t>
      </w:r>
    </w:p>
    <w:p>
      <w:r>
        <w:t>Las preguntas abiertas se almacenarán en columnas de texto y no participarán directamente en los cálculos.</w:t>
      </w:r>
    </w:p>
    <w:p>
      <w:pPr>
        <w:pStyle w:val="Heading2"/>
        <w:keepNext/>
        <w:keepLines/>
      </w:pPr>
      <w:r>
        <w:rPr>
          <w:color w:val="0066CC"/>
        </w:rPr>
        <w:t>3. Hoja "Dominios_IGM"</w:t>
      </w:r>
    </w:p>
    <w:p>
      <w:pPr>
        <w:pStyle w:val="Heading3"/>
        <w:keepNext/>
        <w:keepLines/>
      </w:pPr>
      <w:r>
        <w:t>3.1. Tabla de dominios</w:t>
      </w:r>
    </w:p>
    <w:p>
      <w:r>
        <w:t xml:space="preserve">En la hoja </w:t>
      </w:r>
      <w:r>
        <w:rPr>
          <w:rFonts w:ascii="Courier New" w:hAnsi="Courier New"/>
          <w:sz w:val="18"/>
        </w:rPr>
        <w:t>Dominios_IGM</w:t>
      </w:r>
      <w:r>
        <w:t>, crear una tabla con estas columnas:</w:t>
      </w:r>
    </w:p>
    <w:p>
      <w:pPr>
        <w:pStyle w:val="ListBullet"/>
        <w:keepLines w:val="1"/>
        <w:keepNext w:val="1"/>
        <w:widowControl w:val="1"/>
      </w:pPr>
      <w:r>
        <w:t>Dominio – Nombre del dominio (por ejemplo, Gobernanza, Activos, Riesgo, etc.).</w:t>
      </w:r>
    </w:p>
    <w:p>
      <w:pPr>
        <w:pStyle w:val="ListBullet"/>
        <w:keepLines w:val="1"/>
        <w:keepNext w:val="1"/>
        <w:widowControl w:val="1"/>
      </w:pPr>
      <w:r>
        <w:t>Preguntas – Lista de columnas de Respuestas que pertenecen al dominio (solo para documentación).</w:t>
      </w:r>
    </w:p>
    <w:p>
      <w:pPr>
        <w:pStyle w:val="ListBullet"/>
        <w:keepLines w:val="1"/>
        <w:widowControl w:val="1"/>
      </w:pPr>
      <w:r>
        <w:t>Peso – Peso relativo del dominio en el IGM global.</w:t>
      </w:r>
    </w:p>
    <w:p>
      <w:r>
        <w:t>Ejemplo de dominios y pesos (modificables):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Capacidades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Métricas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0,05</w:t>
            </w:r>
          </w:p>
        </w:tc>
      </w:tr>
    </w:tbl>
    <w:p/>
    <w:p>
      <w:r>
        <w:t>Los pesos deben sumar 1.</w:t>
      </w:r>
    </w:p>
    <w:p>
      <w:pPr>
        <w:pStyle w:val="Heading3"/>
        <w:keepNext/>
        <w:keepLines/>
      </w:pPr>
      <w:r>
        <w:t>3.2. Cálculo de la puntuación media por dominio</w:t>
      </w:r>
    </w:p>
    <w:p>
      <w:r>
        <w:t xml:space="preserve">En la parte principal de la hoja </w:t>
      </w:r>
      <w:r>
        <w:rPr>
          <w:rFonts w:ascii="Courier New" w:hAnsi="Courier New"/>
          <w:sz w:val="18"/>
        </w:rPr>
        <w:t>Dominios_IGM</w:t>
      </w:r>
      <w:r>
        <w:t xml:space="preserve">, cada fila representará una organización (vinculada a </w:t>
      </w:r>
      <w:r>
        <w:rPr>
          <w:rFonts w:ascii="Courier New" w:hAnsi="Courier New"/>
          <w:sz w:val="18"/>
        </w:rPr>
        <w:t>ID_Org</w:t>
      </w:r>
      <w:r>
        <w:t>).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ID_Org</w:t>
      </w:r>
    </w:p>
    <w:p>
      <w:pPr>
        <w:pStyle w:val="ListBullet"/>
        <w:keepLines w:val="1"/>
        <w:keepNext w:val="1"/>
        <w:widowControl w:val="1"/>
      </w:pPr>
      <w:r>
        <w:t>Gobernanza_Media</w:t>
      </w:r>
    </w:p>
    <w:p>
      <w:pPr>
        <w:pStyle w:val="ListBullet"/>
        <w:keepLines w:val="1"/>
        <w:keepNext w:val="1"/>
        <w:widowControl w:val="1"/>
      </w:pPr>
      <w:r>
        <w:t>Activos_Media</w:t>
      </w:r>
    </w:p>
    <w:p>
      <w:pPr>
        <w:pStyle w:val="ListBullet"/>
        <w:keepLines w:val="1"/>
        <w:keepNext w:val="1"/>
        <w:widowControl w:val="1"/>
      </w:pPr>
      <w:r>
        <w:t>Riesgo_Media</w:t>
      </w:r>
    </w:p>
    <w:p>
      <w:pPr>
        <w:pStyle w:val="ListBullet"/>
        <w:keepLines w:val="1"/>
        <w:keepNext w:val="1"/>
        <w:widowControl w:val="1"/>
      </w:pPr>
      <w:r>
        <w:t>Vulner_Media</w:t>
      </w:r>
    </w:p>
    <w:p>
      <w:pPr>
        <w:pStyle w:val="ListBullet"/>
        <w:keepLines w:val="1"/>
        <w:keepNext w:val="1"/>
        <w:widowControl w:val="1"/>
      </w:pPr>
      <w:r>
        <w:t>Incidentes_Media</w:t>
      </w:r>
    </w:p>
    <w:p>
      <w:pPr>
        <w:pStyle w:val="ListBullet"/>
        <w:keepLines w:val="1"/>
        <w:keepNext w:val="1"/>
        <w:widowControl w:val="1"/>
      </w:pPr>
      <w:r>
        <w:t>Capacidades_Media</w:t>
      </w:r>
    </w:p>
    <w:p>
      <w:pPr>
        <w:pStyle w:val="ListBullet"/>
        <w:keepLines w:val="1"/>
        <w:keepNext w:val="1"/>
        <w:widowControl w:val="1"/>
      </w:pPr>
      <w:r>
        <w:t>Cumplimiento_Media</w:t>
      </w:r>
    </w:p>
    <w:p>
      <w:pPr>
        <w:pStyle w:val="ListBullet"/>
        <w:keepLines w:val="1"/>
        <w:keepNext w:val="1"/>
        <w:widowControl w:val="1"/>
      </w:pPr>
      <w:r>
        <w:t>Metricas_Media</w:t>
      </w:r>
    </w:p>
    <w:p>
      <w:pPr>
        <w:pStyle w:val="ListBullet"/>
        <w:keepLines w:val="1"/>
        <w:keepNext w:val="1"/>
        <w:widowControl w:val="1"/>
      </w:pPr>
      <w:r>
        <w:t>Gobernanza_Norm</w:t>
      </w:r>
    </w:p>
    <w:p>
      <w:pPr>
        <w:pStyle w:val="ListBullet"/>
        <w:keepLines w:val="1"/>
        <w:keepNext w:val="1"/>
        <w:widowControl w:val="1"/>
      </w:pPr>
      <w:r>
        <w:t>...</w:t>
      </w:r>
    </w:p>
    <w:p>
      <w:pPr>
        <w:pStyle w:val="ListBullet"/>
        <w:keepLines w:val="1"/>
        <w:keepNext w:val="1"/>
        <w:widowControl w:val="1"/>
      </w:pPr>
      <w:r>
        <w:t>Metricas_Norm</w:t>
      </w:r>
    </w:p>
    <w:p>
      <w:pPr>
        <w:pStyle w:val="ListBullet"/>
        <w:keepLines w:val="1"/>
        <w:widowControl w:val="1"/>
      </w:pPr>
      <w:r>
        <w:t>IGM_Global</w:t>
      </w:r>
    </w:p>
    <w:p>
      <w:r>
        <w:t xml:space="preserve">Para cada dominio, usar fórmulas de media ignorando valores vacíos (por ejemplo, usando </w:t>
      </w:r>
      <w:r>
        <w:rPr>
          <w:rFonts w:ascii="Courier New" w:hAnsi="Courier New"/>
          <w:sz w:val="18"/>
        </w:rPr>
        <w:t>PROMEDIO.SI.CONJUNTO</w:t>
      </w:r>
      <w:r>
        <w:t xml:space="preserve"> o </w:t>
      </w:r>
      <w:r>
        <w:rPr>
          <w:rFonts w:ascii="Courier New" w:hAnsi="Courier New"/>
          <w:sz w:val="18"/>
        </w:rPr>
        <w:t>PROMEDIO</w:t>
      </w:r>
      <w:r>
        <w:t xml:space="preserve"> sobre el rango correspondiente).</w:t>
      </w:r>
    </w:p>
    <w:p>
      <w:r>
        <w:t xml:space="preserve">Ejemplo en Excel (versión en español) para </w:t>
      </w:r>
      <w:r>
        <w:rPr>
          <w:rFonts w:ascii="Courier New" w:hAnsi="Courier New"/>
          <w:sz w:val="18"/>
        </w:rPr>
        <w:t>Gobernanza_Media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=PROMEDIO(SI.NO.ESBLANCO(Respuestas!B2:Respuestas!B10))</w:t>
        <w:br/>
      </w:r>
    </w:p>
    <w:p>
      <w:r>
        <w:t xml:space="preserve">(ajustar rangos a las columnas de ese dominio; en la práctica puede usarse </w:t>
      </w:r>
      <w:r>
        <w:rPr>
          <w:rFonts w:ascii="Courier New" w:hAnsi="Courier New"/>
          <w:sz w:val="18"/>
        </w:rPr>
        <w:t>PROMEDIO</w:t>
      </w:r>
      <w:r>
        <w:t xml:space="preserve"> simple si no se esperan </w:t>
      </w:r>
      <w:r>
        <w:rPr>
          <w:rFonts w:ascii="Courier New" w:hAnsi="Courier New"/>
          <w:sz w:val="18"/>
        </w:rPr>
        <w:t>NA</w:t>
      </w:r>
      <w:r>
        <w:t>).</w:t>
      </w:r>
    </w:p>
    <w:p>
      <w:pPr>
        <w:pStyle w:val="Heading3"/>
        <w:keepNext/>
        <w:keepLines/>
      </w:pPr>
      <w:r>
        <w:t>3.3. Normalización a 0–100</w:t>
      </w:r>
    </w:p>
    <w:p>
      <w:r>
        <w:t xml:space="preserve">Para cada dominio </w:t>
      </w:r>
      <w:r>
        <w:rPr>
          <w:rFonts w:ascii="Courier New" w:hAnsi="Courier New"/>
          <w:sz w:val="18"/>
        </w:rPr>
        <w:t>X_Media</w:t>
      </w:r>
      <w:r>
        <w:t xml:space="preserve">, calcular </w:t>
      </w:r>
      <w:r>
        <w:rPr>
          <w:rFonts w:ascii="Courier New" w:hAnsi="Courier New"/>
          <w:sz w:val="18"/>
        </w:rPr>
        <w:t>X_Norm</w:t>
      </w:r>
      <w:r>
        <w:t xml:space="preserve"> con: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=(X_Media-1)/4*100</w:t>
        <w:br/>
      </w:r>
    </w:p>
    <w:p>
      <w:r>
        <w:t xml:space="preserve">Por ejemplo, en la columna </w:t>
      </w:r>
      <w:r>
        <w:rPr>
          <w:rFonts w:ascii="Courier New" w:hAnsi="Courier New"/>
          <w:sz w:val="18"/>
        </w:rPr>
        <w:t>Gobernanza_Norm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=(Gobernanza_Media-1)/4*100</w:t>
        <w:br/>
      </w:r>
    </w:p>
    <w:p>
      <w:pPr>
        <w:pStyle w:val="Heading3"/>
        <w:keepNext/>
        <w:keepLines/>
      </w:pPr>
      <w:r>
        <w:t>3.4. Cálculo del IGM Global</w:t>
      </w:r>
    </w:p>
    <w:p>
      <w:r>
        <w:t xml:space="preserve">En la columna </w:t>
      </w:r>
      <w:r>
        <w:rPr>
          <w:rFonts w:ascii="Courier New" w:hAnsi="Courier New"/>
          <w:sz w:val="18"/>
        </w:rPr>
        <w:t>IGM_Global</w:t>
      </w:r>
      <w:r>
        <w:t>, usar una fórmula de suma ponderada: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=Gobernanza_Norm*$Peso_Gobernanza + Activos_Norm*$Peso_Activos + ... + Metricas_Norm*$Peso_Metricas</w:t>
        <w:br/>
      </w:r>
    </w:p>
    <w:p>
      <w:r>
        <w:t>Para simplificar, se puede usar una fila de pesos fija en la hoja y referenciarla con referencias absolutas.</w:t>
      </w:r>
    </w:p>
    <w:p>
      <w:r>
        <w:t>Ejemplo genérico: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(Gobernanza_Norm:Metricas_Norm);</w:t>
        <w:br/>
        <w:t xml:space="preserve">  (Pesos!B2:I2)</w:t>
        <w:br/>
        <w:t>)</w:t>
        <w:br/>
      </w:r>
    </w:p>
    <w:p>
      <w:r>
        <w:t>(ajustando nombres según el diseño final).</w:t>
      </w:r>
    </w:p>
    <w:p>
      <w:pPr>
        <w:pStyle w:val="Heading2"/>
        <w:keepNext/>
        <w:keepLines/>
      </w:pPr>
      <w:r>
        <w:rPr>
          <w:color w:val="0066CC"/>
        </w:rPr>
        <w:t>4. Hoja "ROI_ROSI"</w:t>
      </w:r>
    </w:p>
    <w:p>
      <w:pPr>
        <w:pStyle w:val="Heading3"/>
        <w:keepNext/>
        <w:keepLines/>
      </w:pPr>
      <w:r>
        <w:t>4.1. Datos de entrada por organización</w:t>
      </w:r>
    </w:p>
    <w:p>
      <w:r>
        <w:t xml:space="preserve">Para cada </w:t>
      </w:r>
      <w:r>
        <w:rPr>
          <w:rFonts w:ascii="Courier New" w:hAnsi="Courier New"/>
          <w:sz w:val="18"/>
        </w:rPr>
        <w:t>ID_Org</w:t>
      </w:r>
      <w:r>
        <w:t>, incluir:</w:t>
      </w:r>
    </w:p>
    <w:p>
      <w:pPr>
        <w:pStyle w:val="ListBullet"/>
        <w:keepLines w:val="1"/>
        <w:keepNext w:val="1"/>
        <w:widowControl w:val="1"/>
      </w:pPr>
      <w:r>
        <w:t>Coste_Anual_Seguridad – Suma de inversiones y gastos operativos de seguridad.</w:t>
      </w:r>
    </w:p>
    <w:p>
      <w:pPr>
        <w:pStyle w:val="ListBullet"/>
        <w:keepLines w:val="1"/>
        <w:keepNext w:val="1"/>
        <w:widowControl w:val="1"/>
      </w:pPr>
      <w:r>
        <w:t>Incidentes_Antes – Número de incidentes significativos antes de la inversión.</w:t>
      </w:r>
    </w:p>
    <w:p>
      <w:pPr>
        <w:pStyle w:val="ListBullet"/>
        <w:keepLines w:val="1"/>
        <w:keepNext w:val="1"/>
        <w:widowControl w:val="1"/>
      </w:pPr>
      <w:r>
        <w:t>Incidentes_Despues – Número de incidentes significativos después.</w:t>
      </w:r>
    </w:p>
    <w:p>
      <w:pPr>
        <w:pStyle w:val="ListBullet"/>
        <w:keepLines w:val="1"/>
        <w:keepNext w:val="1"/>
        <w:widowControl w:val="1"/>
      </w:pPr>
      <w:r>
        <w:t>Coste_Medio_Incidente – Estimación (en euros) del coste medio de un incidente significativo.</w:t>
      </w:r>
    </w:p>
    <w:p>
      <w:pPr>
        <w:pStyle w:val="ListBullet"/>
        <w:keepLines w:val="1"/>
        <w:keepNext w:val="1"/>
        <w:widowControl w:val="1"/>
      </w:pPr>
      <w:r>
        <w:t>Prob_Antes – Probabilidad anual estimada de un incidente grave (0–1).</w:t>
      </w:r>
    </w:p>
    <w:p>
      <w:pPr>
        <w:pStyle w:val="ListBullet"/>
        <w:keepLines w:val="1"/>
        <w:keepNext w:val="1"/>
        <w:widowControl w:val="1"/>
      </w:pPr>
      <w:r>
        <w:t>Prob_Despues – Probabilidad anual estimada tras medidas.</w:t>
      </w:r>
    </w:p>
    <w:p>
      <w:pPr>
        <w:pStyle w:val="ListBullet"/>
        <w:keepLines w:val="1"/>
        <w:widowControl w:val="1"/>
      </w:pPr>
      <w:r>
        <w:t>Impacto_Medio – Impacto económico medio de un incidente grave.</w:t>
      </w:r>
    </w:p>
    <w:p>
      <w:pPr>
        <w:pStyle w:val="Heading3"/>
        <w:keepNext/>
        <w:keepLines/>
      </w:pPr>
      <w:r>
        <w:t>4.2. Cálculo de pérdidas esperadas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=Prob_Antes*Impacto_Medio   → AE_Antes</w:t>
        <w:br/>
        <w:t>=Prob_Despues*Impacto_Medio → AE_Despues</w:t>
        <w:br/>
      </w:r>
    </w:p>
    <w:p>
      <w:r>
        <w:t>En columnas:</w:t>
      </w:r>
    </w:p>
    <w:p>
      <w:pPr>
        <w:pStyle w:val="ListBullet"/>
        <w:keepLines w:val="1"/>
        <w:keepNext w:val="1"/>
        <w:widowControl w:val="1"/>
      </w:pPr>
      <w:r>
        <w:t>AE_Antes – Pérdida anual esperada antes.</w:t>
      </w:r>
    </w:p>
    <w:p>
      <w:pPr>
        <w:pStyle w:val="ListBullet"/>
        <w:keepLines w:val="1"/>
        <w:keepNext w:val="1"/>
        <w:widowControl w:val="1"/>
      </w:pPr>
      <w:r>
        <w:t>AE_Despues – Pérdida anual esperada después.</w:t>
      </w:r>
    </w:p>
    <w:p>
      <w:pPr>
        <w:pStyle w:val="ListBullet"/>
        <w:keepLines w:val="1"/>
        <w:widowControl w:val="1"/>
      </w:pPr>
      <w:r>
        <w:t>Reduccion_Riesgo – =AE_Antes-AE_Despues.</w:t>
      </w:r>
    </w:p>
    <w:p>
      <w:pPr>
        <w:pStyle w:val="Heading3"/>
        <w:keepNext/>
        <w:keepLines/>
      </w:pPr>
      <w:r>
        <w:t>4.3. Cálculo de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(Reduccion_Riesgo - Coste_Anual_Seguridad) / Coste_Anual_Seguridad</w:t>
        <w:br/>
      </w:r>
    </w:p>
    <w:p>
      <w:r>
        <w:t>Columna:</w:t>
      </w:r>
    </w:p>
    <w:p>
      <w:pPr>
        <w:pStyle w:val="ListBullet"/>
        <w:keepLines w:val="1"/>
        <w:widowControl w:val="1"/>
      </w:pPr>
      <w:r>
        <w:t>ROSI – Return on Security Investment.</w:t>
      </w:r>
    </w:p>
    <w:p>
      <w:pPr>
        <w:pStyle w:val="Heading3"/>
        <w:keepNext/>
        <w:keepLines/>
      </w:pPr>
      <w:r>
        <w:t>4.4. Cálculo de ROI ampliado (incluyendo beneficios intangibles)</w:t>
      </w:r>
    </w:p>
    <w:p>
      <w:r>
        <w:t>Opcionalmente se puede añadir:</w:t>
      </w:r>
    </w:p>
    <w:p>
      <w:pPr>
        <w:pStyle w:val="ListBullet"/>
        <w:keepLines w:val="1"/>
        <w:widowControl w:val="1"/>
      </w:pPr>
      <w:r>
        <w:t>Beneficios_Intangibles – Estimación en euros de beneficios intangibles (evitar sanciones, mejora de confianza, habilitación de negocio).</w:t>
      </w:r>
    </w:p>
    <w:p>
      <w:r>
        <w:t xml:space="preserve">Y calcular un </w:t>
      </w:r>
      <w:r>
        <w:rPr>
          <w:b/>
        </w:rPr>
        <w:t>ROI ampliado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(Reduccion_Riesgo + Beneficios_Intangibles - Coste_Anual_Seguridad) / Coste_Anual_Seguridad</w:t>
        <w:br/>
      </w:r>
    </w:p>
    <w:p>
      <w:pPr>
        <w:pStyle w:val="Heading2"/>
        <w:keepNext/>
        <w:keepLines/>
      </w:pPr>
      <w:r>
        <w:rPr>
          <w:color w:val="0066CC"/>
        </w:rPr>
        <w:t>5. Hoja "Parametros"</w:t>
      </w:r>
    </w:p>
    <w:p>
      <w:r>
        <w:t>Contendrá:</w:t>
      </w:r>
    </w:p>
    <w:p>
      <w:pPr>
        <w:pStyle w:val="ListBullet"/>
        <w:keepLines w:val="1"/>
        <w:keepNext w:val="1"/>
        <w:widowControl w:val="1"/>
      </w:pPr>
      <w:r>
        <w:t>Tabla de pesos de dominios.</w:t>
      </w:r>
    </w:p>
    <w:p>
      <w:pPr>
        <w:pStyle w:val="ListBullet"/>
        <w:keepLines w:val="1"/>
        <w:keepNext w:val="1"/>
        <w:widowControl w:val="1"/>
      </w:pPr>
      <w:r>
        <w:t>Rangos de puntuación para interpretar el IGM (por ejemplo, 0–20, 21–40, etc.).</w:t>
      </w:r>
    </w:p>
    <w:p>
      <w:pPr>
        <w:pStyle w:val="ListBullet"/>
        <w:keepLines w:val="1"/>
        <w:keepNext w:val="1"/>
        <w:widowControl w:val="1"/>
      </w:pPr>
      <w:r>
        <w:t>Conversión entre valores Likert y descripciones cualitativas.</w:t>
      </w:r>
    </w:p>
    <w:p>
      <w:pPr>
        <w:pStyle w:val="ListBullet"/>
        <w:keepLines w:val="1"/>
        <w:widowControl w:val="1"/>
      </w:pPr>
      <w:r>
        <w:t>Valores por defecto para estimaciones de coste medio de incidentes (cuando no se disponga de datos propios), basados en estudios sectoriales.</w:t>
      </w:r>
    </w:p>
    <w:p>
      <w:pPr>
        <w:pStyle w:val="Heading2"/>
        <w:keepNext/>
        <w:keepLines/>
      </w:pPr>
      <w:r>
        <w:rPr>
          <w:color w:val="0066CC"/>
        </w:rPr>
        <w:t>6. Buenas prácticas de implementación</w:t>
      </w:r>
    </w:p>
    <w:p>
      <w:pPr>
        <w:pStyle w:val="ListBullet"/>
        <w:keepLines w:val="1"/>
        <w:keepNext w:val="1"/>
        <w:widowControl w:val="1"/>
      </w:pPr>
      <w:r>
        <w:t>Proteger con contraseña las hojas que contengan fórmulas para evitar modificaciones accidentales.</w:t>
      </w:r>
    </w:p>
    <w:p>
      <w:pPr>
        <w:pStyle w:val="ListBullet"/>
        <w:keepLines w:val="1"/>
        <w:keepNext w:val="1"/>
        <w:widowControl w:val="1"/>
      </w:pPr>
      <w:r>
        <w:t>Incluir validaciones de datos en la hoja Respuestas para asegurar que las puntuaciones estén entre 1 y 5.</w:t>
      </w:r>
    </w:p>
    <w:p>
      <w:pPr>
        <w:pStyle w:val="ListBullet"/>
        <w:keepLines w:val="1"/>
        <w:keepNext w:val="1"/>
        <w:widowControl w:val="1"/>
      </w:pPr>
      <w:r>
        <w:t>Utilizar tablas dinámicas y gráficos para visualizar distribuciones de IGM y ROSI por sector, tamaño, etc.</w:t>
      </w:r>
    </w:p>
    <w:p>
      <w:pPr>
        <w:pStyle w:val="ListBullet"/>
        <w:keepLines w:val="1"/>
        <w:widowControl w:val="1"/>
      </w:pPr>
      <w:r>
        <w:t>Documentar, en una hoja adicional, las hipótesis clave usadas en los cálculos de probabilidad e impacto.</w:t>
      </w:r>
    </w:p>
    <w:p>
      <w:r>
        <w:t xml:space="preserve">Esta plantilla no pretende hacer contabilidad creativa, sino proporcionar un marco razonable para hablar de </w:t>
      </w:r>
      <w:r>
        <w:rPr>
          <w:b/>
        </w:rPr>
        <w:t>madurez y retorno de la ciberseguridad</w:t>
      </w:r>
      <w:r>
        <w:t xml:space="preserve"> en el mismo idioma que se usan para otras decisiones de negocio: el de los datos, aun sabiendo que, como todo modelo, simplifica una realidad bastante más caprichosa.[web:59][web:65][web:67][web:70]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