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– GQM + PRAGMATIC + OCTAVE Nacional</w:t>
      </w:r>
    </w:p>
    <w:p>
      <w:r>
        <w:t>Guion de diapositivas para presentar a la alta dirección el sistema de indicadores nacionales basado en OCTAVE, la metodología GQM y la evaluación PRAGMATIC.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Indicadores Nacionales de Ciberseguridad: OCTAVE, GQM y PRAGMATIC.</w:t>
      </w:r>
    </w:p>
    <w:p>
      <w:pPr>
        <w:pStyle w:val="ListBullet"/>
        <w:keepLines w:val="1"/>
        <w:keepNext w:val="1"/>
        <w:widowControl w:val="1"/>
      </w:pPr>
      <w:r>
        <w:t>Subtítulo: De los objetivos de país a los datos técnicos.</w:t>
      </w:r>
    </w:p>
    <w:p>
      <w:pPr>
        <w:pStyle w:val="ListBullet"/>
        <w:keepLines w:val="1"/>
        <w:widowControl w:val="1"/>
      </w:pPr>
      <w:r>
        <w:t>Datos: institución, fecha, ponente.</w:t>
      </w:r>
    </w:p>
    <w:p>
      <w:pPr>
        <w:pStyle w:val="Heading2"/>
        <w:keepNext/>
        <w:keepLines/>
      </w:pPr>
      <w:r>
        <w:rPr>
          <w:color w:val="0066CC"/>
        </w:rPr>
        <w:t>Diapositiva 2 – Agenda</w:t>
      </w:r>
    </w:p>
    <w:p>
      <w:pPr>
        <w:pStyle w:val="ListBullet"/>
        <w:keepLines w:val="1"/>
        <w:keepNext w:val="1"/>
        <w:widowControl w:val="1"/>
      </w:pPr>
      <w:r>
        <w:t>Contexto normativo y estratégico (ENS, NIS2, Estrategia Nacional).</w:t>
      </w:r>
    </w:p>
    <w:p>
      <w:pPr>
        <w:pStyle w:val="ListBullet"/>
        <w:keepLines w:val="1"/>
        <w:keepNext w:val="1"/>
        <w:widowControl w:val="1"/>
      </w:pPr>
      <w:r>
        <w:t>Enfoque OCTAVE aplicado a nivel nacional.</w:t>
      </w:r>
    </w:p>
    <w:p>
      <w:pPr>
        <w:pStyle w:val="ListBullet"/>
        <w:keepLines w:val="1"/>
        <w:keepNext w:val="1"/>
        <w:widowControl w:val="1"/>
      </w:pPr>
      <w:r>
        <w:t>Metodología GQM + PRAGMATIC.</w:t>
      </w:r>
    </w:p>
    <w:p>
      <w:pPr>
        <w:pStyle w:val="ListBullet"/>
        <w:keepLines w:val="1"/>
        <w:keepNext w:val="1"/>
        <w:widowControl w:val="1"/>
      </w:pPr>
      <w:r>
        <w:t>Catálogo de indicadores clave.</w:t>
      </w:r>
    </w:p>
    <w:p>
      <w:pPr>
        <w:pStyle w:val="ListBullet"/>
        <w:keepLines w:val="1"/>
        <w:keepNext w:val="1"/>
        <w:widowControl w:val="1"/>
      </w:pPr>
      <w:r>
        <w:t>Resultados de ejemplo (IGM, métricas principales).</w:t>
      </w:r>
    </w:p>
    <w:p>
      <w:pPr>
        <w:pStyle w:val="ListBullet"/>
        <w:keepLines w:val="1"/>
        <w:keepNext w:val="1"/>
        <w:widowControl w:val="1"/>
      </w:pPr>
      <w:r>
        <w:t>Implicaciones para la toma de decisiones.</w:t>
      </w:r>
    </w:p>
    <w:p>
      <w:pPr>
        <w:pStyle w:val="ListBullet"/>
        <w:keepLines w:val="1"/>
        <w:widowControl w:val="1"/>
      </w:pPr>
      <w:r>
        <w:t>Próximos pasos.</w:t>
      </w:r>
    </w:p>
    <w:p>
      <w:pPr>
        <w:pStyle w:val="Heading2"/>
        <w:keepNext/>
        <w:keepLines/>
      </w:pPr>
      <w:r>
        <w:rPr>
          <w:color w:val="0066CC"/>
        </w:rPr>
        <w:t>Diapositiva 3 – Contexto: por qué necesitamos mejores métricas</w:t>
      </w:r>
    </w:p>
    <w:p>
      <w:pPr>
        <w:pStyle w:val="ListBullet"/>
        <w:keepLines w:val="1"/>
        <w:keepNext w:val="1"/>
        <w:widowControl w:val="1"/>
      </w:pPr>
      <w:r>
        <w:t>Aumento de incidentes, sofisticación de amenazas, dependencia digital creciente.[web:87][web:19]</w:t>
      </w:r>
    </w:p>
    <w:p>
      <w:pPr>
        <w:pStyle w:val="ListBullet"/>
        <w:keepLines w:val="1"/>
        <w:keepNext w:val="1"/>
        <w:widowControl w:val="1"/>
      </w:pPr>
      <w:r>
        <w:t>Exigencias de ENS y NIS2 en gestión de riesgos, notificación de incidentes y gobernanza.[web:60][web:63][web:84][web:93]</w:t>
      </w:r>
    </w:p>
    <w:p>
      <w:pPr>
        <w:pStyle w:val="ListBullet"/>
        <w:keepLines w:val="1"/>
        <w:widowControl w:val="1"/>
      </w:pPr>
      <w:r>
        <w:t>Necesidad de hablar de ciberseguridad en términos de riesgo, madurez y retorno de inversión, no solo de tecnología.</w:t>
      </w:r>
    </w:p>
    <w:p>
      <w:pPr>
        <w:pStyle w:val="Heading2"/>
        <w:keepNext/>
        <w:keepLines/>
      </w:pPr>
      <w:r>
        <w:rPr>
          <w:color w:val="0066CC"/>
        </w:rPr>
        <w:t>Diapositiva 4 – OCTAVE a escala nacional</w:t>
      </w:r>
    </w:p>
    <w:p>
      <w:pPr>
        <w:pStyle w:val="ListBullet"/>
        <w:keepLines w:val="1"/>
        <w:keepNext w:val="1"/>
        <w:widowControl w:val="1"/>
      </w:pPr>
      <w:r>
        <w:t>Resumen del enfoque OCTAVE (activos, amenazas, vulnerabilidades, riesgos, controles, resultados).</w:t>
      </w:r>
    </w:p>
    <w:p>
      <w:pPr>
        <w:pStyle w:val="ListBullet"/>
        <w:keepLines w:val="1"/>
        <w:keepNext w:val="1"/>
        <w:widowControl w:val="1"/>
      </w:pPr>
      <w:r>
        <w:t>Adaptación a nivel país:</w:t>
      </w:r>
    </w:p>
    <w:p>
      <w:pPr>
        <w:pStyle w:val="ListBullet"/>
        <w:keepLines w:val="1"/>
        <w:keepNext w:val="1"/>
        <w:widowControl w:val="1"/>
      </w:pPr>
      <w:r>
        <w:t>Activos: servicios esenciales, sistemas públicos, datos críticos.</w:t>
      </w:r>
    </w:p>
    <w:p>
      <w:pPr>
        <w:pStyle w:val="ListBullet"/>
        <w:keepLines w:val="1"/>
        <w:keepNext w:val="1"/>
        <w:widowControl w:val="1"/>
      </w:pPr>
      <w:r>
        <w:t>Amenazas: incidentes reportados, tendencias, vectores principales.</w:t>
      </w:r>
    </w:p>
    <w:p>
      <w:pPr>
        <w:pStyle w:val="ListBullet"/>
        <w:keepLines w:val="1"/>
        <w:keepNext w:val="1"/>
        <w:widowControl w:val="1"/>
      </w:pPr>
      <w:r>
        <w:t>Vulnerabilidades: sistemas vulnerables, exposición de servicios esenciales.</w:t>
      </w:r>
    </w:p>
    <w:p>
      <w:pPr>
        <w:pStyle w:val="ListBullet"/>
        <w:keepLines w:val="1"/>
        <w:widowControl w:val="1"/>
      </w:pPr>
      <w:r>
        <w:t>Objetivo: construir una visión agregada del riesgo cibernético nacional.</w:t>
      </w:r>
    </w:p>
    <w:p>
      <w:pPr>
        <w:pStyle w:val="Heading2"/>
        <w:keepNext/>
        <w:keepLines/>
      </w:pPr>
      <w:r>
        <w:rPr>
          <w:color w:val="0066CC"/>
        </w:rPr>
        <w:t>Diapositiva 5 – Metodología GQM</w:t>
      </w:r>
    </w:p>
    <w:p>
      <w:pPr>
        <w:pStyle w:val="ListBullet"/>
        <w:keepLines w:val="1"/>
        <w:keepNext w:val="1"/>
        <w:widowControl w:val="1"/>
      </w:pPr>
      <w:r>
        <w:t>Breve definición: Goal–Question–Metric.[web:79][web:82][web:88]</w:t>
      </w:r>
    </w:p>
    <w:p>
      <w:pPr>
        <w:pStyle w:val="ListBullet"/>
        <w:keepLines w:val="1"/>
        <w:keepNext w:val="1"/>
        <w:widowControl w:val="1"/>
      </w:pPr>
      <w:r>
        <w:t>Cadena de trazabilidad:</w:t>
      </w:r>
    </w:p>
    <w:p>
      <w:pPr>
        <w:pStyle w:val="ListBullet"/>
        <w:keepLines w:val="1"/>
        <w:keepNext w:val="1"/>
        <w:widowControl w:val="1"/>
      </w:pPr>
      <w:r>
        <w:t>Objetivo: qué queremos mejorar/entender.</w:t>
      </w:r>
    </w:p>
    <w:p>
      <w:pPr>
        <w:pStyle w:val="ListBullet"/>
        <w:keepLines w:val="1"/>
        <w:keepNext w:val="1"/>
        <w:widowControl w:val="1"/>
      </w:pPr>
      <w:r>
        <w:t>Preguntas: qué necesitamos saber para saber si vamos bien.</w:t>
      </w:r>
    </w:p>
    <w:p>
      <w:pPr>
        <w:pStyle w:val="ListBullet"/>
        <w:keepLines w:val="1"/>
        <w:keepNext w:val="1"/>
        <w:widowControl w:val="1"/>
      </w:pPr>
      <w:r>
        <w:t>Métricas: qué datos concretos podemos medir.</w:t>
      </w:r>
    </w:p>
    <w:p>
      <w:pPr>
        <w:pStyle w:val="ListBullet"/>
        <w:keepLines w:val="1"/>
        <w:widowControl w:val="1"/>
      </w:pPr>
      <w:r>
        <w:t>Mensaje clave: ningún indicador sin objetivo y preguntas explícitas.</w:t>
      </w:r>
    </w:p>
    <w:p>
      <w:pPr>
        <w:pStyle w:val="Heading2"/>
        <w:keepNext/>
        <w:keepLines/>
      </w:pPr>
      <w:r>
        <w:rPr>
          <w:color w:val="0066CC"/>
        </w:rPr>
        <w:t>Diapositiva 6 – Metodología PRAGMATIC</w:t>
      </w:r>
    </w:p>
    <w:p>
      <w:pPr>
        <w:pStyle w:val="ListBullet"/>
        <w:keepLines w:val="1"/>
        <w:keepNext w:val="1"/>
        <w:widowControl w:val="1"/>
      </w:pPr>
      <w:r>
        <w:t>Definición de los nueve criterios PRAGMATIC: Predictiva, Relevante, Accionable, Genuina, Significativa, Precisa, Oportuna, Independiente, Rentable.[web:83][web:86][web:89]</w:t>
      </w:r>
    </w:p>
    <w:p>
      <w:pPr>
        <w:pStyle w:val="ListBullet"/>
        <w:keepLines w:val="1"/>
        <w:keepNext w:val="1"/>
        <w:widowControl w:val="1"/>
      </w:pPr>
      <w:r>
        <w:t>Rol de PRAGMATIC: evaluar la calidad de cada métrica.</w:t>
      </w:r>
    </w:p>
    <w:p>
      <w:pPr>
        <w:pStyle w:val="ListBullet"/>
        <w:keepLines w:val="1"/>
        <w:widowControl w:val="1"/>
      </w:pPr>
      <w:r>
        <w:t>Uso práctico: priorizar indicadores, refinar definiciones, descartar métricas poco útiles.</w:t>
      </w:r>
    </w:p>
    <w:p>
      <w:pPr>
        <w:pStyle w:val="Heading2"/>
        <w:keepNext/>
        <w:keepLines/>
      </w:pPr>
      <w:r>
        <w:rPr>
          <w:color w:val="0066CC"/>
        </w:rPr>
        <w:t>Diapositiva 7 – El catálogo de 15 indicadores OCTAVE nacionales</w:t>
      </w:r>
    </w:p>
    <w:p>
      <w:pPr>
        <w:pStyle w:val="ListBullet"/>
        <w:keepLines w:val="1"/>
        <w:keepNext w:val="1"/>
        <w:widowControl w:val="1"/>
      </w:pPr>
      <w:r>
        <w:t>Lista resumida de indicadores:</w:t>
      </w:r>
    </w:p>
    <w:p>
      <w:pPr>
        <w:pStyle w:val="ListBullet"/>
        <w:keepLines w:val="1"/>
        <w:keepNext w:val="1"/>
        <w:widowControl w:val="1"/>
      </w:pPr>
      <w:r>
        <w:t>Inventario de servicios esenciales digitalizados.</w:t>
      </w:r>
    </w:p>
    <w:p>
      <w:pPr>
        <w:pStyle w:val="ListBullet"/>
        <w:keepLines w:val="1"/>
        <w:keepNext w:val="1"/>
        <w:widowControl w:val="1"/>
      </w:pPr>
      <w:r>
        <w:t>Cobertura ENS.</w:t>
      </w:r>
    </w:p>
    <w:p>
      <w:pPr>
        <w:pStyle w:val="ListBullet"/>
        <w:keepLines w:val="1"/>
        <w:keepNext w:val="1"/>
        <w:widowControl w:val="1"/>
      </w:pPr>
      <w:r>
        <w:t>Protección de datos personales.</w:t>
      </w:r>
    </w:p>
    <w:p>
      <w:pPr>
        <w:pStyle w:val="ListBullet"/>
        <w:keepLines w:val="1"/>
        <w:keepNext w:val="1"/>
        <w:widowControl w:val="1"/>
      </w:pPr>
      <w:r>
        <w:t>Incidentes por sector y tendencia nacional.</w:t>
      </w:r>
    </w:p>
    <w:p>
      <w:pPr>
        <w:pStyle w:val="ListBullet"/>
        <w:keepLines w:val="1"/>
        <w:keepNext w:val="1"/>
        <w:widowControl w:val="1"/>
      </w:pPr>
      <w:r>
        <w:t>Amenazas contra disponibilidad.</w:t>
      </w:r>
    </w:p>
    <w:p>
      <w:pPr>
        <w:pStyle w:val="ListBullet"/>
        <w:keepLines w:val="1"/>
        <w:keepNext w:val="1"/>
        <w:widowControl w:val="1"/>
      </w:pPr>
      <w:r>
        <w:t>Sistemas vulnerables y exposición de servicios esenciales.</w:t>
      </w:r>
    </w:p>
    <w:p>
      <w:pPr>
        <w:pStyle w:val="ListBullet"/>
        <w:keepLines w:val="1"/>
        <w:keepNext w:val="1"/>
        <w:widowControl w:val="1"/>
      </w:pPr>
      <w:r>
        <w:t>Brechas de capacidad.</w:t>
      </w:r>
    </w:p>
    <w:p>
      <w:pPr>
        <w:pStyle w:val="ListBullet"/>
        <w:keepLines w:val="1"/>
        <w:keepNext w:val="1"/>
        <w:widowControl w:val="1"/>
      </w:pPr>
      <w:r>
        <w:t>Gobernanza y liderazgo.</w:t>
      </w:r>
    </w:p>
    <w:p>
      <w:pPr>
        <w:pStyle w:val="ListBullet"/>
        <w:keepLines w:val="1"/>
        <w:keepNext w:val="1"/>
        <w:widowControl w:val="1"/>
      </w:pPr>
      <w:r>
        <w:t>Capacidad de respuesta nacional.</w:t>
      </w:r>
    </w:p>
    <w:p>
      <w:pPr>
        <w:pStyle w:val="ListBullet"/>
        <w:keepLines w:val="1"/>
        <w:keepNext w:val="1"/>
        <w:widowControl w:val="1"/>
      </w:pPr>
      <w:r>
        <w:t>Cultura y formación.</w:t>
      </w:r>
    </w:p>
    <w:p>
      <w:pPr>
        <w:pStyle w:val="ListBullet"/>
        <w:keepLines w:val="1"/>
        <w:keepNext w:val="1"/>
        <w:widowControl w:val="1"/>
      </w:pPr>
      <w:r>
        <w:t>Pérdidas económicas estimadas.</w:t>
      </w:r>
    </w:p>
    <w:p>
      <w:pPr>
        <w:pStyle w:val="ListBullet"/>
        <w:keepLines w:val="1"/>
        <w:keepNext w:val="1"/>
        <w:widowControl w:val="1"/>
      </w:pPr>
      <w:r>
        <w:t>Continuidad de servicios esenciales.</w:t>
      </w:r>
    </w:p>
    <w:p>
      <w:pPr>
        <w:pStyle w:val="ListBullet"/>
        <w:keepLines w:val="1"/>
        <w:keepNext w:val="1"/>
        <w:widowControl w:val="1"/>
      </w:pPr>
      <w:r>
        <w:t>Confianza digital.</w:t>
      </w:r>
    </w:p>
    <w:p>
      <w:pPr>
        <w:pStyle w:val="ListBullet"/>
        <w:keepLines w:val="1"/>
        <w:widowControl w:val="1"/>
      </w:pPr>
      <w:r>
        <w:t>Nota: cada indicador está definido mediante un objetivo GQM y evaluado con PRAGMATIC.</w:t>
      </w:r>
    </w:p>
    <w:p>
      <w:pPr>
        <w:pStyle w:val="Heading2"/>
        <w:keepNext/>
        <w:keepLines/>
      </w:pPr>
      <w:r>
        <w:rPr>
          <w:color w:val="0066CC"/>
        </w:rPr>
        <w:t>Diapositiva 8 – Ejemplo GQM: Inventario de servicios esenciales</w:t>
      </w:r>
    </w:p>
    <w:p>
      <w:pPr>
        <w:pStyle w:val="ListBullet"/>
        <w:keepLines w:val="1"/>
        <w:keepNext w:val="1"/>
        <w:widowControl w:val="1"/>
      </w:pPr>
      <w:r>
        <w:t>Objetivo: evaluar la identificación y gestión de activos TIC críticos en servicios esenciales.</w:t>
      </w:r>
    </w:p>
    <w:p>
      <w:pPr>
        <w:pStyle w:val="ListBullet"/>
        <w:keepLines w:val="1"/>
        <w:keepNext w:val="1"/>
        <w:widowControl w:val="1"/>
      </w:pPr>
      <w:r>
        <w:t>Preguntas clave:</w:t>
      </w:r>
    </w:p>
    <w:p>
      <w:pPr>
        <w:pStyle w:val="ListBullet"/>
        <w:keepLines w:val="1"/>
        <w:keepNext w:val="1"/>
        <w:widowControl w:val="1"/>
      </w:pPr>
      <w:r>
        <w:t>¿Qué porcentaje de servicios esenciales tiene inventario TIC formal y actualizado?</w:t>
      </w:r>
    </w:p>
    <w:p>
      <w:pPr>
        <w:pStyle w:val="ListBullet"/>
        <w:keepLines w:val="1"/>
        <w:keepNext w:val="1"/>
        <w:widowControl w:val="1"/>
      </w:pPr>
      <w:r>
        <w:t>¿En qué medida se integra con la gestión de riesgos y continuidad?</w:t>
      </w:r>
    </w:p>
    <w:p>
      <w:pPr>
        <w:pStyle w:val="ListBullet"/>
        <w:keepLines w:val="1"/>
        <w:keepNext w:val="1"/>
        <w:widowControl w:val="1"/>
      </w:pPr>
      <w:r>
        <w:t>Métrica principal: %SE_con_inventario.</w:t>
      </w:r>
    </w:p>
    <w:p>
      <w:pPr>
        <w:pStyle w:val="ListBullet"/>
        <w:keepLines w:val="1"/>
        <w:keepNext w:val="1"/>
        <w:widowControl w:val="1"/>
      </w:pPr>
      <w:r>
        <w:t>Resultado (ejemplo ficticio): 62 %.</w:t>
      </w:r>
    </w:p>
    <w:p>
      <w:pPr>
        <w:pStyle w:val="ListBullet"/>
        <w:keepLines w:val="1"/>
        <w:widowControl w:val="1"/>
      </w:pPr>
      <w:r>
        <w:t>Implicación: 38 % de servicios esenciales carecen de base sólida para gestionar riesgos.</w:t>
      </w:r>
    </w:p>
    <w:p>
      <w:pPr>
        <w:pStyle w:val="Heading2"/>
        <w:keepNext/>
        <w:keepLines/>
      </w:pPr>
      <w:r>
        <w:rPr>
          <w:color w:val="0066CC"/>
        </w:rPr>
        <w:t>Diapositiva 9 – Ejemplo PRAGMATIC: Continuidad de servicios esenciales</w:t>
      </w:r>
    </w:p>
    <w:p>
      <w:pPr>
        <w:pStyle w:val="ListBullet"/>
        <w:keepLines w:val="1"/>
        <w:keepNext w:val="1"/>
        <w:widowControl w:val="1"/>
      </w:pPr>
      <w:r>
        <w:t>Métrica principal: nº de interrupciones significativas de servicios esenciales debidas a ciberincidentes, y horas de indisponibilidad.</w:t>
      </w:r>
    </w:p>
    <w:p>
      <w:pPr>
        <w:pStyle w:val="ListBullet"/>
        <w:keepLines w:val="1"/>
        <w:keepNext w:val="1"/>
        <w:widowControl w:val="1"/>
      </w:pPr>
      <w:r>
        <w:t>Evaluación PRAGMATIC (ejemplo):</w:t>
      </w:r>
    </w:p>
    <w:p>
      <w:pPr>
        <w:pStyle w:val="ListBullet"/>
        <w:keepLines w:val="1"/>
        <w:keepNext w:val="1"/>
        <w:widowControl w:val="1"/>
      </w:pPr>
      <w:r>
        <w:t>P: 5 (altamente predictiva del impacto social).</w:t>
      </w:r>
    </w:p>
    <w:p>
      <w:pPr>
        <w:pStyle w:val="ListBullet"/>
        <w:keepLines w:val="1"/>
        <w:keepNext w:val="1"/>
        <w:widowControl w:val="1"/>
      </w:pPr>
      <w:r>
        <w:t>R: 5 (relevancia directa para ciudadanía y política pública).</w:t>
      </w:r>
    </w:p>
    <w:p>
      <w:pPr>
        <w:pStyle w:val="ListBullet"/>
        <w:keepLines w:val="1"/>
        <w:keepNext w:val="1"/>
        <w:widowControl w:val="1"/>
      </w:pPr>
      <w:r>
        <w:t>A: 5 (altamente accionable: priorización de inversiones en resiliencia).</w:t>
      </w:r>
    </w:p>
    <w:p>
      <w:pPr>
        <w:pStyle w:val="ListBullet"/>
        <w:keepLines w:val="1"/>
        <w:keepNext w:val="1"/>
        <w:widowControl w:val="1"/>
      </w:pPr>
      <w:r>
        <w:t>Resto de criterios: mostrar resumen para ilustrar la lógica.</w:t>
      </w:r>
    </w:p>
    <w:p>
      <w:pPr>
        <w:pStyle w:val="ListBullet"/>
        <w:keepLines w:val="1"/>
        <w:widowControl w:val="1"/>
      </w:pPr>
      <w:r>
        <w:t>Mensaje: métrica prioritaria en el cuadro de mando nacional.</w:t>
      </w:r>
    </w:p>
    <w:p>
      <w:pPr>
        <w:pStyle w:val="Heading2"/>
        <w:keepNext/>
        <w:keepLines/>
      </w:pPr>
      <w:r>
        <w:rPr>
          <w:color w:val="0066CC"/>
        </w:rPr>
        <w:t>Diapositiva 10 – Encaje con ENS y NIS2</w:t>
      </w:r>
    </w:p>
    <w:p>
      <w:pPr>
        <w:pStyle w:val="ListBullet"/>
        <w:keepLines w:val="1"/>
        <w:keepNext w:val="1"/>
        <w:widowControl w:val="1"/>
      </w:pPr>
      <w:r>
        <w:t>Diagrama que muestre cómo los 15 indicadores se alinean con:</w:t>
      </w:r>
    </w:p>
    <w:p>
      <w:pPr>
        <w:pStyle w:val="ListBullet"/>
        <w:keepLines w:val="1"/>
        <w:keepNext w:val="1"/>
        <w:widowControl w:val="1"/>
      </w:pPr>
      <w:r>
        <w:t>ENS (gestión de riesgos, medidas mínimas, vigilancia continua).</w:t>
      </w:r>
    </w:p>
    <w:p>
      <w:pPr>
        <w:pStyle w:val="ListBullet"/>
        <w:keepLines w:val="1"/>
        <w:keepNext w:val="1"/>
        <w:widowControl w:val="1"/>
      </w:pPr>
      <w:r>
        <w:t>NIS2 (gestión de riesgos, gobernanza, notificación de incidentes, continuidad).</w:t>
      </w:r>
    </w:p>
    <w:p>
      <w:pPr>
        <w:pStyle w:val="ListBullet"/>
        <w:keepLines w:val="1"/>
        <w:widowControl w:val="1"/>
      </w:pPr>
      <w:r>
        <w:t>Mensaje: los indicadores ayudan a cumplir y demostrar cumplimiento, no son un ejercicio paralelo.[web:60][web:63][web:84][web:93]</w:t>
      </w:r>
    </w:p>
    <w:p>
      <w:pPr>
        <w:pStyle w:val="Heading2"/>
        <w:keepNext/>
        <w:keepLines/>
      </w:pPr>
      <w:r>
        <w:rPr>
          <w:color w:val="0066CC"/>
        </w:rPr>
        <w:t>Diapositiva 11 – IGM y visión de madurez</w:t>
      </w:r>
    </w:p>
    <w:p>
      <w:pPr>
        <w:pStyle w:val="ListBullet"/>
        <w:keepLines w:val="1"/>
        <w:keepNext w:val="1"/>
        <w:widowControl w:val="1"/>
      </w:pPr>
      <w:r>
        <w:t>Explicar el Índice Global de Madurez (IGM) derivado de la encuesta OCTAVE nacional.</w:t>
      </w:r>
    </w:p>
    <w:p>
      <w:pPr>
        <w:pStyle w:val="ListBullet"/>
        <w:keepLines w:val="1"/>
        <w:keepNext w:val="1"/>
        <w:widowControl w:val="1"/>
      </w:pPr>
      <w:r>
        <w:t>Gráfico radar con dominios de madurez (Gobernanza, Activos, Riesgo, etc.).</w:t>
      </w:r>
    </w:p>
    <w:p>
      <w:pPr>
        <w:pStyle w:val="ListBullet"/>
        <w:keepLines w:val="1"/>
        <w:keepNext w:val="1"/>
        <w:widowControl w:val="1"/>
      </w:pPr>
      <w:r>
        <w:t>Mensajes clave:</w:t>
      </w:r>
    </w:p>
    <w:p>
      <w:pPr>
        <w:pStyle w:val="ListBullet"/>
        <w:keepLines w:val="1"/>
        <w:keepNext w:val="1"/>
        <w:widowControl w:val="1"/>
      </w:pPr>
      <w:r>
        <w:t>Dominios fuertes.</w:t>
      </w:r>
    </w:p>
    <w:p>
      <w:pPr>
        <w:pStyle w:val="ListBullet"/>
        <w:keepLines w:val="1"/>
        <w:keepNext w:val="1"/>
        <w:widowControl w:val="1"/>
      </w:pPr>
      <w:r>
        <w:t>Dominios débiles.</w:t>
      </w:r>
    </w:p>
    <w:p>
      <w:pPr>
        <w:pStyle w:val="ListBullet"/>
        <w:keepLines w:val="1"/>
        <w:widowControl w:val="1"/>
      </w:pPr>
      <w:r>
        <w:t>Comparación con ejercicios anteriores o benchmarks, si existen.</w:t>
      </w:r>
    </w:p>
    <w:p>
      <w:pPr>
        <w:pStyle w:val="Heading2"/>
        <w:keepNext/>
        <w:keepLines/>
      </w:pPr>
      <w:r>
        <w:rPr>
          <w:color w:val="0066CC"/>
        </w:rPr>
        <w:t>Diapositiva 12 – ROI/ROSI de la ciberseguridad</w:t>
      </w:r>
    </w:p>
    <w:p>
      <w:pPr>
        <w:pStyle w:val="ListBullet"/>
        <w:keepLines w:val="1"/>
        <w:keepNext w:val="1"/>
        <w:widowControl w:val="1"/>
      </w:pPr>
      <w:r>
        <w:t>Metodología básica de cálculo de pérdidas esperadas y reducción de riesgo.[web:59][web:65][web:67][web:70]</w:t>
      </w:r>
    </w:p>
    <w:p>
      <w:pPr>
        <w:pStyle w:val="ListBullet"/>
        <w:keepLines w:val="1"/>
        <w:keepNext w:val="1"/>
        <w:widowControl w:val="1"/>
      </w:pPr>
      <w:r>
        <w:t>Resultado sintetizado (ejemplo ficticio):</w:t>
      </w:r>
    </w:p>
    <w:p>
      <w:pPr>
        <w:pStyle w:val="ListBullet"/>
        <w:keepLines w:val="1"/>
        <w:keepNext w:val="1"/>
        <w:widowControl w:val="1"/>
      </w:pPr>
      <w:r>
        <w:t>Reducción estimada de pérdidas anuales tras ciertas inversiones.</w:t>
      </w:r>
    </w:p>
    <w:p>
      <w:pPr>
        <w:pStyle w:val="ListBullet"/>
        <w:keepLines w:val="1"/>
        <w:keepNext w:val="1"/>
        <w:widowControl w:val="1"/>
      </w:pPr>
      <w:r>
        <w:t>ROSI &gt; 0 como argumento de negocio.</w:t>
      </w:r>
    </w:p>
    <w:p>
      <w:pPr>
        <w:pStyle w:val="ListBullet"/>
        <w:keepLines w:val="1"/>
        <w:widowControl w:val="1"/>
      </w:pPr>
      <w:r>
        <w:t>Mensaje: la ciberseguridad puede y debe hablar en el lenguaje del retorno de inversión, aunque con cautela metodológica.</w:t>
      </w:r>
    </w:p>
    <w:p>
      <w:pPr>
        <w:pStyle w:val="Heading2"/>
        <w:keepNext/>
        <w:keepLines/>
      </w:pPr>
      <w:r>
        <w:rPr>
          <w:color w:val="0066CC"/>
        </w:rPr>
        <w:t>Diapositiva 13 – Priorización basada en PRAGMATIC</w:t>
      </w:r>
    </w:p>
    <w:p>
      <w:pPr>
        <w:pStyle w:val="ListBullet"/>
        <w:keepLines w:val="1"/>
        <w:keepNext w:val="1"/>
        <w:widowControl w:val="1"/>
      </w:pPr>
      <w:r>
        <w:t>Mapa que cruce:</w:t>
      </w:r>
    </w:p>
    <w:p>
      <w:pPr>
        <w:pStyle w:val="ListBullet"/>
        <w:keepLines w:val="1"/>
        <w:keepNext w:val="1"/>
        <w:widowControl w:val="1"/>
      </w:pPr>
      <w:r>
        <w:t>Impacto en objetivos nacionales.</w:t>
      </w:r>
    </w:p>
    <w:p>
      <w:pPr>
        <w:pStyle w:val="ListBullet"/>
        <w:keepLines w:val="1"/>
        <w:keepNext w:val="1"/>
        <w:widowControl w:val="1"/>
      </w:pPr>
      <w:r>
        <w:t>Puntuación PRAGMATIC de las métricas.</w:t>
      </w:r>
    </w:p>
    <w:p>
      <w:pPr>
        <w:pStyle w:val="ListBullet"/>
        <w:keepLines w:val="1"/>
        <w:keepNext w:val="1"/>
        <w:widowControl w:val="1"/>
      </w:pPr>
      <w:r>
        <w:t>Identificación de indicadores "estrella" (altamente útiles) y "candidatos a revisión".</w:t>
      </w:r>
    </w:p>
    <w:p>
      <w:pPr>
        <w:pStyle w:val="ListBullet"/>
        <w:keepLines w:val="1"/>
        <w:widowControl w:val="1"/>
      </w:pPr>
      <w:r>
        <w:t>Uso de la matriz para decidir qué se reporta a nivel político y qué se reserva para análisis técnicos.</w:t>
      </w:r>
    </w:p>
    <w:p>
      <w:pPr>
        <w:pStyle w:val="Heading2"/>
        <w:keepNext/>
        <w:keepLines/>
      </w:pPr>
      <w:r>
        <w:rPr>
          <w:color w:val="0066CC"/>
        </w:rPr>
        <w:t>Diapositiva 14 – Implicaciones para la toma de decisiones</w:t>
      </w:r>
    </w:p>
    <w:p>
      <w:pPr>
        <w:pStyle w:val="ListBullet"/>
        <w:keepLines w:val="1"/>
        <w:keepNext w:val="1"/>
        <w:widowControl w:val="1"/>
      </w:pPr>
      <w:r>
        <w:t>Decisiones estratégicas:</w:t>
      </w:r>
    </w:p>
    <w:p>
      <w:pPr>
        <w:pStyle w:val="ListBullet"/>
        <w:keepLines w:val="1"/>
        <w:keepNext w:val="1"/>
        <w:widowControl w:val="1"/>
      </w:pPr>
      <w:r>
        <w:t>Prioridad de sectores y servicios esenciales.</w:t>
      </w:r>
    </w:p>
    <w:p>
      <w:pPr>
        <w:pStyle w:val="ListBullet"/>
        <w:keepLines w:val="1"/>
        <w:keepNext w:val="1"/>
        <w:widowControl w:val="1"/>
      </w:pPr>
      <w:r>
        <w:t>Refuerzo de capacidades (CSIRTs, formación, gobernanza).</w:t>
      </w:r>
    </w:p>
    <w:p>
      <w:pPr>
        <w:pStyle w:val="ListBullet"/>
        <w:keepLines w:val="1"/>
        <w:keepNext w:val="1"/>
        <w:widowControl w:val="1"/>
      </w:pPr>
      <w:r>
        <w:t>Decisiones operativas:</w:t>
      </w:r>
    </w:p>
    <w:p>
      <w:pPr>
        <w:pStyle w:val="ListBullet"/>
        <w:keepLines w:val="1"/>
        <w:keepNext w:val="1"/>
        <w:widowControl w:val="1"/>
      </w:pPr>
      <w:r>
        <w:t>Focos de auditoría ENS/NIS2.</w:t>
      </w:r>
    </w:p>
    <w:p>
      <w:pPr>
        <w:pStyle w:val="ListBullet"/>
        <w:keepLines w:val="1"/>
        <w:keepNext w:val="1"/>
        <w:widowControl w:val="1"/>
      </w:pPr>
      <w:r>
        <w:t>Planes sectoriales específicos.</w:t>
      </w:r>
    </w:p>
    <w:p>
      <w:pPr>
        <w:pStyle w:val="ListBullet"/>
        <w:keepLines w:val="1"/>
        <w:keepNext w:val="1"/>
        <w:widowControl w:val="1"/>
      </w:pPr>
      <w:r>
        <w:t>Decisiones de inversión:</w:t>
      </w:r>
    </w:p>
    <w:p>
      <w:pPr>
        <w:pStyle w:val="ListBullet"/>
        <w:keepLines w:val="1"/>
        <w:widowControl w:val="1"/>
      </w:pPr>
      <w:r>
        <w:t>Proyectos con mejor relación reducción de riesgo / coste.</w:t>
      </w:r>
    </w:p>
    <w:p>
      <w:pPr>
        <w:pStyle w:val="Heading2"/>
        <w:keepNext/>
        <w:keepLines/>
      </w:pPr>
      <w:r>
        <w:rPr>
          <w:color w:val="0066CC"/>
        </w:rPr>
        <w:t>Diapositiva 15 – Próximos pasos</w:t>
      </w:r>
    </w:p>
    <w:p>
      <w:pPr>
        <w:pStyle w:val="ListBullet"/>
        <w:keepLines w:val="1"/>
        <w:keepNext w:val="1"/>
        <w:widowControl w:val="1"/>
      </w:pPr>
      <w:r>
        <w:t>Consolidar la recogida de datos para cada indicador.</w:t>
      </w:r>
    </w:p>
    <w:p>
      <w:pPr>
        <w:pStyle w:val="ListBullet"/>
        <w:keepLines w:val="1"/>
        <w:keepNext w:val="1"/>
        <w:widowControl w:val="1"/>
      </w:pPr>
      <w:r>
        <w:t>Revisar periódicamente las puntuaciones PRAGMATIC y el catálogo de métricas.</w:t>
      </w:r>
    </w:p>
    <w:p>
      <w:pPr>
        <w:pStyle w:val="ListBullet"/>
        <w:keepLines w:val="1"/>
        <w:keepNext w:val="1"/>
        <w:widowControl w:val="1"/>
      </w:pPr>
      <w:r>
        <w:t>Integrar los indicadores en informes regulares al Consejo Nacional de Ciberseguridad y a otros órganos competentes.</w:t>
      </w:r>
    </w:p>
    <w:p>
      <w:pPr>
        <w:pStyle w:val="ListBullet"/>
        <w:keepLines w:val="1"/>
        <w:widowControl w:val="1"/>
      </w:pPr>
      <w:r>
        <w:t>Planificar la siguiente iteración del IGM y del análisis de ROI/ROSI.</w:t>
      </w:r>
    </w:p>
    <w:p>
      <w:pPr>
        <w:pStyle w:val="Heading2"/>
        <w:keepNext/>
        <w:keepLines/>
      </w:pPr>
      <w:r>
        <w:rPr>
          <w:color w:val="0066CC"/>
        </w:rPr>
        <w:t>Diapositiva 16 – Mensaje final</w:t>
      </w:r>
    </w:p>
    <w:p>
      <w:pPr>
        <w:pStyle w:val="ListBullet"/>
        <w:keepLines w:val="1"/>
        <w:keepNext w:val="1"/>
        <w:widowControl w:val="1"/>
      </w:pPr>
      <w:r>
        <w:t>Resumen: OCTAVE aporta la lógica de riesgo, GQM la trazabilidad, PRAGMATIC la calidad, ENS/NIS2 la obligación, y el IGM/ROI el lenguaje de negocio.</w:t>
      </w:r>
    </w:p>
    <w:p>
      <w:pPr>
        <w:pStyle w:val="ListBullet"/>
        <w:keepLines w:val="1"/>
        <w:widowControl w:val="1"/>
      </w:pPr>
      <w:r>
        <w:t>Cierre: "No podemos evitar todas las crisis, pero sí podemos decidir si llegamos a ellas con datos y criterio… o con fe y buena suerte".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