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en PowerPoint (Descripción en Markdown)</w:t>
      </w:r>
    </w:p>
    <w:p>
      <w:r>
        <w:t>Guion de diapositivas para presentar a la alta dirección los resultados de la Encuesta OCTAVE Nacional, el Índice Global de Madurez (IGM) y el análisis de ROI/ROSI.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Estado de la Ciberseguridad y Madurez OCTAVE en la Organización.</w:t>
      </w:r>
    </w:p>
    <w:p>
      <w:pPr>
        <w:pStyle w:val="ListBullet"/>
        <w:keepLines w:val="1"/>
        <w:keepNext w:val="1"/>
        <w:widowControl w:val="1"/>
      </w:pPr>
      <w:r>
        <w:t>Subtítulo: Resultados de la Encuesta OCTAVE Nacional, IGM y ROI de Ciberseguridad.</w:t>
      </w:r>
    </w:p>
    <w:p>
      <w:pPr>
        <w:pStyle w:val="ListBullet"/>
        <w:keepLines w:val="1"/>
        <w:keepNext w:val="1"/>
        <w:widowControl w:val="1"/>
      </w:pPr>
      <w:r>
        <w:t>Datos: Nombre de la organización, unidad analizada, fecha.</w:t>
      </w:r>
    </w:p>
    <w:p>
      <w:pPr>
        <w:pStyle w:val="ListBullet"/>
        <w:keepLines w:val="1"/>
        <w:widowControl w:val="1"/>
      </w:pPr>
      <w:r>
        <w:t>Opcional: logotipos de las entidades participantes.</w:t>
      </w:r>
    </w:p>
    <w:p>
      <w:pPr>
        <w:pStyle w:val="Heading2"/>
        <w:keepNext/>
        <w:keepLines/>
      </w:pPr>
      <w:r>
        <w:rPr>
          <w:color w:val="0066CC"/>
        </w:rPr>
        <w:t>Diapositiva 2 – Agenda</w:t>
      </w:r>
    </w:p>
    <w:p>
      <w:pPr>
        <w:pStyle w:val="ListBullet"/>
        <w:keepLines w:val="1"/>
        <w:keepNext w:val="1"/>
        <w:widowControl w:val="1"/>
      </w:pPr>
      <w:r>
        <w:t>Contexto y objetivos.</w:t>
      </w:r>
    </w:p>
    <w:p>
      <w:pPr>
        <w:pStyle w:val="ListBullet"/>
        <w:keepLines w:val="1"/>
        <w:keepNext w:val="1"/>
        <w:widowControl w:val="1"/>
      </w:pPr>
      <w:r>
        <w:t>Metodología y alcance.</w:t>
      </w:r>
    </w:p>
    <w:p>
      <w:pPr>
        <w:pStyle w:val="ListBullet"/>
        <w:keepLines w:val="1"/>
        <w:keepNext w:val="1"/>
        <w:widowControl w:val="1"/>
      </w:pPr>
      <w:r>
        <w:t>Resultados clave del IGM.</w:t>
      </w:r>
    </w:p>
    <w:p>
      <w:pPr>
        <w:pStyle w:val="ListBullet"/>
        <w:keepLines w:val="1"/>
        <w:keepNext w:val="1"/>
        <w:widowControl w:val="1"/>
      </w:pPr>
      <w:r>
        <w:t>Principales riesgos y brechas de madurez.</w:t>
      </w:r>
    </w:p>
    <w:p>
      <w:pPr>
        <w:pStyle w:val="ListBullet"/>
        <w:keepLines w:val="1"/>
        <w:keepNext w:val="1"/>
        <w:widowControl w:val="1"/>
      </w:pPr>
      <w:r>
        <w:t>Indicadores de ROI/ROSI y beneficios.</w:t>
      </w:r>
    </w:p>
    <w:p>
      <w:pPr>
        <w:pStyle w:val="ListBullet"/>
        <w:keepLines w:val="1"/>
        <w:widowControl w:val="1"/>
      </w:pPr>
      <w:r>
        <w:t>Plan de acción propuesto.</w:t>
      </w:r>
    </w:p>
    <w:p>
      <w:pPr>
        <w:pStyle w:val="Heading2"/>
        <w:keepNext/>
        <w:keepLines/>
      </w:pPr>
      <w:r>
        <w:rPr>
          <w:color w:val="0066CC"/>
        </w:rPr>
        <w:t>Diapositiva 3 – Contexto y motivación</w:t>
      </w:r>
    </w:p>
    <w:p>
      <w:pPr>
        <w:pStyle w:val="ListBullet"/>
        <w:keepLines w:val="1"/>
        <w:keepNext w:val="1"/>
        <w:widowControl w:val="1"/>
      </w:pPr>
      <w:r>
        <w:t>Breve recordatorio del panorama de amenazas (ransomware, interrupciones de servicios esenciales, incumplimientos normativos).</w:t>
      </w:r>
    </w:p>
    <w:p>
      <w:pPr>
        <w:pStyle w:val="ListBullet"/>
        <w:keepLines w:val="1"/>
        <w:keepNext w:val="1"/>
        <w:widowControl w:val="1"/>
      </w:pPr>
      <w:r>
        <w:t>Referencia a las obligaciones de ENS, NIS2 y marcos internacionales.</w:t>
      </w:r>
    </w:p>
    <w:p>
      <w:pPr>
        <w:pStyle w:val="ListBullet"/>
        <w:keepLines w:val="1"/>
        <w:widowControl w:val="1"/>
      </w:pPr>
      <w:r>
        <w:t>Mensaje clave: la ciberseguridad ya no es solo un problema técnico, sino un riesgo estratégico.</w:t>
      </w:r>
    </w:p>
    <w:p>
      <w:pPr>
        <w:pStyle w:val="Heading2"/>
        <w:keepNext/>
        <w:keepLines/>
      </w:pPr>
      <w:r>
        <w:rPr>
          <w:color w:val="0066CC"/>
        </w:rPr>
        <w:t>Diapositiva 4 – Metodología de la Encuesta</w:t>
      </w:r>
    </w:p>
    <w:p>
      <w:pPr>
        <w:pStyle w:val="ListBullet"/>
        <w:keepLines w:val="1"/>
        <w:keepNext w:val="1"/>
        <w:widowControl w:val="1"/>
      </w:pPr>
      <w:r>
        <w:t>Referencia al marco OCTAVE (activos, amenazas, vulnerabilidades, riesgos, controles, resultados).</w:t>
      </w:r>
    </w:p>
    <w:p>
      <w:pPr>
        <w:pStyle w:val="ListBullet"/>
        <w:keepLines w:val="1"/>
        <w:keepNext w:val="1"/>
        <w:widowControl w:val="1"/>
      </w:pPr>
      <w:r>
        <w:t>Bloques de la encuesta (Gobernanza, Activos, Riesgo, Vulnerabilidades, Incidentes, Capacidades, Cumplimiento, Métricas).</w:t>
      </w:r>
    </w:p>
    <w:p>
      <w:pPr>
        <w:pStyle w:val="ListBullet"/>
        <w:keepLines w:val="1"/>
        <w:keepNext w:val="1"/>
        <w:widowControl w:val="1"/>
      </w:pPr>
      <w:r>
        <w:t>Escala de madurez 1–5 y conversión a escala 0–100 para el IGM.</w:t>
      </w:r>
    </w:p>
    <w:p>
      <w:pPr>
        <w:pStyle w:val="ListBullet"/>
        <w:keepLines w:val="1"/>
        <w:widowControl w:val="1"/>
      </w:pPr>
      <w:r>
        <w:t>Mención a la plantilla de cálculo de IGM y ROI/ROSI.</w:t>
      </w:r>
    </w:p>
    <w:p>
      <w:pPr>
        <w:pStyle w:val="Heading2"/>
        <w:keepNext/>
        <w:keepLines/>
      </w:pPr>
      <w:r>
        <w:rPr>
          <w:color w:val="0066CC"/>
        </w:rPr>
        <w:t>Diapositiva 5 – Perfil de la muestra</w:t>
      </w:r>
    </w:p>
    <w:p>
      <w:pPr>
        <w:pStyle w:val="ListBullet"/>
        <w:keepLines w:val="1"/>
        <w:keepNext w:val="1"/>
        <w:widowControl w:val="1"/>
      </w:pPr>
      <w:r>
        <w:t>Número de unidades analizadas (organizaciones, filiales, líneas de negocio).</w:t>
      </w:r>
    </w:p>
    <w:p>
      <w:pPr>
        <w:pStyle w:val="ListBullet"/>
        <w:keepLines w:val="1"/>
        <w:keepNext w:val="1"/>
        <w:widowControl w:val="1"/>
      </w:pPr>
      <w:r>
        <w:t>Distribución por sector, tamaño y tipo de organización.</w:t>
      </w:r>
    </w:p>
    <w:p>
      <w:pPr>
        <w:pStyle w:val="ListBullet"/>
        <w:keepLines w:val="1"/>
        <w:widowControl w:val="1"/>
      </w:pPr>
      <w:r>
        <w:t>Nota sobre el carácter confidencial y el uso de los datos.</w:t>
      </w:r>
    </w:p>
    <w:p>
      <w:pPr>
        <w:pStyle w:val="Heading2"/>
        <w:keepNext/>
        <w:keepLines/>
      </w:pPr>
      <w:r>
        <w:rPr>
          <w:color w:val="0066CC"/>
        </w:rPr>
        <w:t>Diapositiva 6 – IGM Global de la Organización</w:t>
      </w:r>
    </w:p>
    <w:p>
      <w:pPr>
        <w:pStyle w:val="ListBullet"/>
        <w:keepLines w:val="1"/>
        <w:keepNext w:val="1"/>
        <w:widowControl w:val="1"/>
      </w:pPr>
      <w:r>
        <w:t>Gráfico de barras o indicador tipo velocímetro con el IGM global (0–100).</w:t>
      </w:r>
    </w:p>
    <w:p>
      <w:pPr>
        <w:pStyle w:val="ListBullet"/>
        <w:keepLines w:val="1"/>
        <w:keepNext w:val="1"/>
        <w:widowControl w:val="1"/>
      </w:pPr>
      <w:r>
        <w:t>Umbrales cualitativos (muy bajo, bajo, medio, alto, muy alto).</w:t>
      </w:r>
    </w:p>
    <w:p>
      <w:pPr>
        <w:pStyle w:val="ListBullet"/>
        <w:keepLines w:val="1"/>
        <w:widowControl w:val="1"/>
      </w:pPr>
      <w:r>
        <w:t>Mensaje clave: dónde se sitúa la organización hoy.</w:t>
      </w:r>
    </w:p>
    <w:p>
      <w:pPr>
        <w:pStyle w:val="Heading2"/>
        <w:keepNext/>
        <w:keepLines/>
      </w:pPr>
      <w:r>
        <w:rPr>
          <w:color w:val="0066CC"/>
        </w:rPr>
        <w:t>Diapositiva 7 – Madurez por Dominio</w:t>
      </w:r>
    </w:p>
    <w:p>
      <w:pPr>
        <w:pStyle w:val="ListBullet"/>
        <w:keepLines w:val="1"/>
        <w:keepNext w:val="1"/>
        <w:widowControl w:val="1"/>
      </w:pPr>
      <w:r>
        <w:t>Gráfico radar o barras comparativas con los dominios:</w:t>
      </w:r>
    </w:p>
    <w:p>
      <w:pPr>
        <w:pStyle w:val="ListBullet"/>
        <w:keepLines w:val="1"/>
        <w:keepNext w:val="1"/>
        <w:widowControl w:val="1"/>
      </w:pPr>
      <w:r>
        <w:t>Gobernanza.</w:t>
      </w:r>
    </w:p>
    <w:p>
      <w:pPr>
        <w:pStyle w:val="ListBullet"/>
        <w:keepLines w:val="1"/>
        <w:keepNext w:val="1"/>
        <w:widowControl w:val="1"/>
      </w:pPr>
      <w:r>
        <w:t>Activos.</w:t>
      </w:r>
    </w:p>
    <w:p>
      <w:pPr>
        <w:pStyle w:val="ListBullet"/>
        <w:keepLines w:val="1"/>
        <w:keepNext w:val="1"/>
        <w:widowControl w:val="1"/>
      </w:pPr>
      <w:r>
        <w:t>Riesgo.</w:t>
      </w:r>
    </w:p>
    <w:p>
      <w:pPr>
        <w:pStyle w:val="ListBullet"/>
        <w:keepLines w:val="1"/>
        <w:keepNext w:val="1"/>
        <w:widowControl w:val="1"/>
      </w:pPr>
      <w:r>
        <w:t>Vulnerabilidades.</w:t>
      </w:r>
    </w:p>
    <w:p>
      <w:pPr>
        <w:pStyle w:val="ListBullet"/>
        <w:keepLines w:val="1"/>
        <w:keepNext w:val="1"/>
        <w:widowControl w:val="1"/>
      </w:pPr>
      <w:r>
        <w:t>Incidentes y continuidad.</w:t>
      </w:r>
    </w:p>
    <w:p>
      <w:pPr>
        <w:pStyle w:val="ListBullet"/>
        <w:keepLines w:val="1"/>
        <w:keepNext w:val="1"/>
        <w:widowControl w:val="1"/>
      </w:pPr>
      <w:r>
        <w:t>Capacidades y cultura.</w:t>
      </w:r>
    </w:p>
    <w:p>
      <w:pPr>
        <w:pStyle w:val="ListBullet"/>
        <w:keepLines w:val="1"/>
        <w:keepNext w:val="1"/>
        <w:widowControl w:val="1"/>
      </w:pPr>
      <w:r>
        <w:t>Cumplimiento.</w:t>
      </w:r>
    </w:p>
    <w:p>
      <w:pPr>
        <w:pStyle w:val="ListBullet"/>
        <w:keepLines w:val="1"/>
        <w:keepNext w:val="1"/>
        <w:widowControl w:val="1"/>
      </w:pPr>
      <w:r>
        <w:t>Métricas.</w:t>
      </w:r>
    </w:p>
    <w:p>
      <w:pPr>
        <w:pStyle w:val="ListBullet"/>
        <w:keepLines w:val="1"/>
        <w:widowControl w:val="1"/>
      </w:pPr>
      <w:r>
        <w:t>Mensaje clave: dominios fuertes y dominios débiles.</w:t>
      </w:r>
    </w:p>
    <w:p>
      <w:pPr>
        <w:pStyle w:val="Heading2"/>
        <w:keepNext/>
        <w:keepLines/>
      </w:pPr>
      <w:r>
        <w:rPr>
          <w:color w:val="0066CC"/>
        </w:rPr>
        <w:t>Diapositiva 8 – Comparación con Benchmark (opcional)</w:t>
      </w:r>
    </w:p>
    <w:p>
      <w:pPr>
        <w:pStyle w:val="ListBullet"/>
        <w:keepLines w:val="1"/>
        <w:keepNext w:val="1"/>
        <w:widowControl w:val="1"/>
      </w:pPr>
      <w:r>
        <w:t>Comparación del IGM global y por dominios con:</w:t>
      </w:r>
    </w:p>
    <w:p>
      <w:pPr>
        <w:pStyle w:val="ListBullet"/>
        <w:keepLines w:val="1"/>
        <w:keepNext w:val="1"/>
        <w:widowControl w:val="1"/>
      </w:pPr>
      <w:r>
        <w:t>Sector.</w:t>
      </w:r>
    </w:p>
    <w:p>
      <w:pPr>
        <w:pStyle w:val="ListBullet"/>
        <w:keepLines w:val="1"/>
        <w:keepNext w:val="1"/>
        <w:widowControl w:val="1"/>
      </w:pPr>
      <w:r>
        <w:t>Organizaciones de tamaño similar.</w:t>
      </w:r>
    </w:p>
    <w:p>
      <w:pPr>
        <w:pStyle w:val="ListBullet"/>
        <w:keepLines w:val="1"/>
        <w:widowControl w:val="1"/>
      </w:pPr>
      <w:r>
        <w:t>Mensaje clave: ¿estamos por encima, en línea o por debajo de nuestros pares?</w:t>
      </w:r>
    </w:p>
    <w:p>
      <w:pPr>
        <w:pStyle w:val="Heading2"/>
        <w:keepNext/>
        <w:keepLines/>
      </w:pPr>
      <w:r>
        <w:rPr>
          <w:color w:val="0066CC"/>
        </w:rPr>
        <w:t>Diapositiva 9 – Brechas Críticas de Madurez</w:t>
      </w:r>
    </w:p>
    <w:p>
      <w:pPr>
        <w:pStyle w:val="ListBullet"/>
        <w:keepLines w:val="1"/>
        <w:keepNext w:val="1"/>
        <w:widowControl w:val="1"/>
      </w:pPr>
      <w:r>
        <w:t>Lista de 3–5 brechas de madurez más relevantes, vinculadas a:</w:t>
      </w:r>
    </w:p>
    <w:p>
      <w:pPr>
        <w:pStyle w:val="ListBullet"/>
        <w:keepLines w:val="1"/>
        <w:keepNext w:val="1"/>
        <w:widowControl w:val="1"/>
      </w:pPr>
      <w:r>
        <w:t>Obligaciones ENS/NIS2.</w:t>
      </w:r>
    </w:p>
    <w:p>
      <w:pPr>
        <w:pStyle w:val="ListBullet"/>
        <w:keepLines w:val="1"/>
        <w:keepNext w:val="1"/>
        <w:widowControl w:val="1"/>
      </w:pPr>
      <w:r>
        <w:t>Riesgos con alto impacto potencial.</w:t>
      </w:r>
    </w:p>
    <w:p>
      <w:pPr>
        <w:pStyle w:val="ListBullet"/>
        <w:keepLines w:val="1"/>
        <w:keepNext w:val="1"/>
        <w:widowControl w:val="1"/>
      </w:pPr>
      <w:r>
        <w:t>Para cada brecha, indicar:</w:t>
      </w:r>
    </w:p>
    <w:p>
      <w:pPr>
        <w:pStyle w:val="ListBullet"/>
        <w:keepLines w:val="1"/>
        <w:keepNext w:val="1"/>
        <w:widowControl w:val="1"/>
      </w:pPr>
      <w:r>
        <w:t>Dominio afectado.</w:t>
      </w:r>
    </w:p>
    <w:p>
      <w:pPr>
        <w:pStyle w:val="ListBullet"/>
        <w:keepLines w:val="1"/>
        <w:keepNext w:val="1"/>
        <w:widowControl w:val="1"/>
      </w:pPr>
      <w:r>
        <w:t>Riesgo asociado.</w:t>
      </w:r>
    </w:p>
    <w:p>
      <w:pPr>
        <w:pStyle w:val="ListBullet"/>
        <w:keepLines w:val="1"/>
        <w:widowControl w:val="1"/>
      </w:pPr>
      <w:r>
        <w:t>Impacto en negocio.</w:t>
      </w:r>
    </w:p>
    <w:p>
      <w:pPr>
        <w:pStyle w:val="Heading2"/>
        <w:keepNext/>
        <w:keepLines/>
      </w:pPr>
      <w:r>
        <w:rPr>
          <w:color w:val="0066CC"/>
        </w:rPr>
        <w:t>Diapositiva 10 – Indicadores de Riesgo y Incidentes</w:t>
      </w:r>
    </w:p>
    <w:p>
      <w:pPr>
        <w:pStyle w:val="ListBullet"/>
        <w:keepLines w:val="1"/>
        <w:keepNext w:val="1"/>
        <w:widowControl w:val="1"/>
      </w:pPr>
      <w:r>
        <w:t>Evolución de incidentes significativos (últimos 2–3 años).</w:t>
      </w:r>
    </w:p>
    <w:p>
      <w:pPr>
        <w:pStyle w:val="ListBullet"/>
        <w:keepLines w:val="1"/>
        <w:keepNext w:val="1"/>
        <w:widowControl w:val="1"/>
      </w:pPr>
      <w:r>
        <w:t>Distribución por tipo (ransomware, disponibilidad, fuga de datos, etc.).</w:t>
      </w:r>
    </w:p>
    <w:p>
      <w:pPr>
        <w:pStyle w:val="ListBullet"/>
        <w:keepLines w:val="1"/>
        <w:widowControl w:val="1"/>
      </w:pPr>
      <w:r>
        <w:t>Métricas operativas clave: MTTD, MTTR, tasa de parcheo de vulnerabilidades críticas.</w:t>
      </w:r>
    </w:p>
    <w:p>
      <w:pPr>
        <w:pStyle w:val="Heading2"/>
        <w:keepNext/>
        <w:keepLines/>
      </w:pPr>
      <w:r>
        <w:rPr>
          <w:color w:val="0066CC"/>
        </w:rPr>
        <w:t>Diapositiva 11 – ROI/ROSI de la Ciberseguridad</w:t>
      </w:r>
    </w:p>
    <w:p>
      <w:pPr>
        <w:pStyle w:val="ListBullet"/>
        <w:keepLines w:val="1"/>
        <w:keepNext w:val="1"/>
        <w:widowControl w:val="1"/>
      </w:pPr>
      <w:r>
        <w:t>Presentación de la metodología de cálculo (pérdidas esperadas antes/después, ROSI).</w:t>
      </w:r>
    </w:p>
    <w:p>
      <w:pPr>
        <w:pStyle w:val="ListBullet"/>
        <w:keepLines w:val="1"/>
        <w:keepNext w:val="1"/>
        <w:widowControl w:val="1"/>
      </w:pPr>
      <w:r>
        <w:t>Resultado sintetizado:</w:t>
      </w:r>
    </w:p>
    <w:p>
      <w:pPr>
        <w:pStyle w:val="ListBullet"/>
        <w:keepLines w:val="1"/>
        <w:keepNext w:val="1"/>
        <w:widowControl w:val="1"/>
      </w:pPr>
      <w:r>
        <w:t>Reducción estimada de pérdidas anuales.</w:t>
      </w:r>
    </w:p>
    <w:p>
      <w:pPr>
        <w:pStyle w:val="ListBullet"/>
        <w:keepLines w:val="1"/>
        <w:keepNext w:val="1"/>
        <w:widowControl w:val="1"/>
      </w:pPr>
      <w:r>
        <w:t>Relación entre reducción de riesgo y coste de las inversiones.</w:t>
      </w:r>
    </w:p>
    <w:p>
      <w:pPr>
        <w:pStyle w:val="ListBullet"/>
        <w:keepLines w:val="1"/>
        <w:widowControl w:val="1"/>
      </w:pPr>
      <w:r>
        <w:t>Mensaje clave: la ciberseguridad como inversión que protege valor y habilita negocio.</w:t>
      </w:r>
    </w:p>
    <w:p>
      <w:pPr>
        <w:pStyle w:val="Heading2"/>
        <w:keepNext/>
        <w:keepLines/>
      </w:pPr>
      <w:r>
        <w:rPr>
          <w:color w:val="0066CC"/>
        </w:rPr>
        <w:t>Diapositiva 12 – Beneficios Intangibles</w:t>
      </w:r>
    </w:p>
    <w:p>
      <w:pPr>
        <w:pStyle w:val="ListBullet"/>
        <w:keepLines w:val="1"/>
        <w:keepNext w:val="1"/>
        <w:widowControl w:val="1"/>
      </w:pPr>
      <w:r>
        <w:t>Listado de beneficios difíciles de monetizar pero relevantes:</w:t>
      </w:r>
    </w:p>
    <w:p>
      <w:pPr>
        <w:pStyle w:val="ListBullet"/>
        <w:keepLines w:val="1"/>
        <w:keepNext w:val="1"/>
        <w:widowControl w:val="1"/>
      </w:pPr>
      <w:r>
        <w:t>Cumplimiento normativo y reducción de riesgo de sanciones.</w:t>
      </w:r>
    </w:p>
    <w:p>
      <w:pPr>
        <w:pStyle w:val="ListBullet"/>
        <w:keepLines w:val="1"/>
        <w:keepNext w:val="1"/>
        <w:widowControl w:val="1"/>
      </w:pPr>
      <w:r>
        <w:t>Mejora de la confianza de clientes y socios.</w:t>
      </w:r>
    </w:p>
    <w:p>
      <w:pPr>
        <w:pStyle w:val="ListBullet"/>
        <w:keepLines w:val="1"/>
        <w:keepNext w:val="1"/>
        <w:widowControl w:val="1"/>
      </w:pPr>
      <w:r>
        <w:t>Mayor capacidad para abordar proyectos de transformación digital.</w:t>
      </w:r>
    </w:p>
    <w:p>
      <w:pPr>
        <w:pStyle w:val="ListBullet"/>
        <w:keepLines w:val="1"/>
        <w:widowControl w:val="1"/>
      </w:pPr>
      <w:r>
        <w:t>Mensaje clave: el ROI en ciberseguridad va más allá de la contabilidad estricta.</w:t>
      </w:r>
    </w:p>
    <w:p>
      <w:pPr>
        <w:pStyle w:val="Heading2"/>
        <w:keepNext/>
        <w:keepLines/>
      </w:pPr>
      <w:r>
        <w:rPr>
          <w:color w:val="0066CC"/>
        </w:rPr>
        <w:t>Diapositiva 13 – Prioridades de Mejora (24 meses)</w:t>
      </w:r>
    </w:p>
    <w:p>
      <w:pPr>
        <w:pStyle w:val="ListBullet"/>
        <w:keepLines w:val="1"/>
        <w:keepNext w:val="1"/>
        <w:widowControl w:val="1"/>
      </w:pPr>
      <w:r>
        <w:t>Tabla o gráfico que enlace:</w:t>
      </w:r>
    </w:p>
    <w:p>
      <w:pPr>
        <w:pStyle w:val="ListBullet"/>
        <w:keepLines w:val="1"/>
        <w:keepNext w:val="1"/>
        <w:widowControl w:val="1"/>
      </w:pPr>
      <w:r>
        <w:t>Brechas detectadas.</w:t>
      </w:r>
    </w:p>
    <w:p>
      <w:pPr>
        <w:pStyle w:val="ListBullet"/>
        <w:keepLines w:val="1"/>
        <w:keepNext w:val="1"/>
        <w:widowControl w:val="1"/>
      </w:pPr>
      <w:r>
        <w:t>Dominios de madurez.</w:t>
      </w:r>
    </w:p>
    <w:p>
      <w:pPr>
        <w:pStyle w:val="ListBullet"/>
        <w:keepLines w:val="1"/>
        <w:keepNext w:val="1"/>
        <w:widowControl w:val="1"/>
      </w:pPr>
      <w:r>
        <w:t>Obligaciones normativas asociadas.</w:t>
      </w:r>
    </w:p>
    <w:p>
      <w:pPr>
        <w:pStyle w:val="ListBullet"/>
        <w:keepLines w:val="1"/>
        <w:widowControl w:val="1"/>
      </w:pPr>
      <w:r>
        <w:t>Selección de 3–5 prioridades con alto impacto en madurez y reducción de riesgo.</w:t>
      </w:r>
    </w:p>
    <w:p>
      <w:pPr>
        <w:pStyle w:val="Heading2"/>
        <w:keepNext/>
        <w:keepLines/>
      </w:pPr>
      <w:r>
        <w:rPr>
          <w:color w:val="0066CC"/>
        </w:rPr>
        <w:t>Diapositiva 14 – Plan de Acción Resumido</w:t>
      </w:r>
    </w:p>
    <w:p>
      <w:pPr>
        <w:pStyle w:val="ListBullet"/>
        <w:keepLines w:val="1"/>
        <w:keepNext w:val="1"/>
        <w:widowControl w:val="1"/>
      </w:pPr>
      <w:r>
        <w:t>Para cada prioridad:</w:t>
      </w:r>
    </w:p>
    <w:p>
      <w:pPr>
        <w:pStyle w:val="ListBullet"/>
        <w:keepLines w:val="1"/>
        <w:keepNext w:val="1"/>
        <w:widowControl w:val="1"/>
      </w:pPr>
      <w:r>
        <w:t>Objetivo.</w:t>
      </w:r>
    </w:p>
    <w:p>
      <w:pPr>
        <w:pStyle w:val="ListBullet"/>
        <w:keepLines w:val="1"/>
        <w:keepNext w:val="1"/>
        <w:widowControl w:val="1"/>
      </w:pPr>
      <w:r>
        <w:t>Acciones clave.</w:t>
      </w:r>
    </w:p>
    <w:p>
      <w:pPr>
        <w:pStyle w:val="ListBullet"/>
        <w:keepLines w:val="1"/>
        <w:keepNext w:val="1"/>
        <w:widowControl w:val="1"/>
      </w:pPr>
      <w:r>
        <w:t>Horizonte temporal.</w:t>
      </w:r>
    </w:p>
    <w:p>
      <w:pPr>
        <w:pStyle w:val="ListBullet"/>
        <w:keepLines w:val="1"/>
        <w:keepNext w:val="1"/>
        <w:widowControl w:val="1"/>
      </w:pPr>
      <w:r>
        <w:t>Áreas responsables.</w:t>
      </w:r>
    </w:p>
    <w:p>
      <w:pPr>
        <w:pStyle w:val="ListBullet"/>
        <w:keepLines w:val="1"/>
        <w:widowControl w:val="1"/>
      </w:pPr>
      <w:r>
        <w:t>Notas sobre dependencia de recursos (presupuesto, personal, apoyo de la dirección).</w:t>
      </w:r>
    </w:p>
    <w:p>
      <w:pPr>
        <w:pStyle w:val="Heading2"/>
        <w:keepNext/>
        <w:keepLines/>
      </w:pPr>
      <w:r>
        <w:rPr>
          <w:color w:val="0066CC"/>
        </w:rPr>
        <w:t>Diapositiva 15 – Riesgos de No Actuar</w:t>
      </w:r>
    </w:p>
    <w:p>
      <w:pPr>
        <w:pStyle w:val="ListBullet"/>
        <w:keepLines w:val="1"/>
        <w:keepNext w:val="1"/>
        <w:widowControl w:val="1"/>
      </w:pPr>
      <w:r>
        <w:t>Escenarios ilustrativos (sin catastrofismo gratuito):</w:t>
      </w:r>
    </w:p>
    <w:p>
      <w:pPr>
        <w:pStyle w:val="ListBullet"/>
        <w:keepLines w:val="1"/>
        <w:keepNext w:val="1"/>
        <w:widowControl w:val="1"/>
      </w:pPr>
      <w:r>
        <w:t>Escenario de incidente no mitigado y su impacto (económico, reputacional, regulatorio).</w:t>
      </w:r>
    </w:p>
    <w:p>
      <w:pPr>
        <w:pStyle w:val="ListBullet"/>
        <w:keepLines w:val="1"/>
        <w:keepNext w:val="1"/>
        <w:widowControl w:val="1"/>
      </w:pPr>
      <w:r>
        <w:t>Riesgo de obsolescencia frente a pares más maduros.</w:t>
      </w:r>
    </w:p>
    <w:p>
      <w:pPr>
        <w:pStyle w:val="ListBullet"/>
        <w:keepLines w:val="1"/>
        <w:widowControl w:val="1"/>
      </w:pPr>
      <w:r>
        <w:t>Mensaje clave: decidir no invertir es, en sí mismo, una decisión de inversión… en riesgo.</w:t>
      </w:r>
    </w:p>
    <w:p>
      <w:pPr>
        <w:pStyle w:val="Heading2"/>
        <w:keepNext/>
        <w:keepLines/>
      </w:pPr>
      <w:r>
        <w:rPr>
          <w:color w:val="0066CC"/>
        </w:rPr>
        <w:t>Diapositiva 16 – Próximos Pasos</w:t>
      </w:r>
    </w:p>
    <w:p>
      <w:pPr>
        <w:pStyle w:val="ListBullet"/>
        <w:keepLines w:val="1"/>
        <w:keepNext w:val="1"/>
        <w:widowControl w:val="1"/>
      </w:pPr>
      <w:r>
        <w:t>Validar y ajustar el plan de acción.</w:t>
      </w:r>
    </w:p>
    <w:p>
      <w:pPr>
        <w:pStyle w:val="ListBullet"/>
        <w:keepLines w:val="1"/>
        <w:keepNext w:val="1"/>
        <w:widowControl w:val="1"/>
      </w:pPr>
      <w:r>
        <w:t>Definir responsables y calendario.</w:t>
      </w:r>
    </w:p>
    <w:p>
      <w:pPr>
        <w:pStyle w:val="ListBullet"/>
        <w:keepLines w:val="1"/>
        <w:keepNext w:val="1"/>
        <w:widowControl w:val="1"/>
      </w:pPr>
      <w:r>
        <w:t>Programar la próxima medición del IGM (por ejemplo, en 12 meses).</w:t>
      </w:r>
    </w:p>
    <w:p>
      <w:pPr>
        <w:pStyle w:val="ListBullet"/>
        <w:keepLines w:val="1"/>
        <w:widowControl w:val="1"/>
      </w:pPr>
      <w:r>
        <w:t>Explorar posibles proyectos prioritarios (por ejemplo, refuerzo de gobierno, gestión de vulnerabilidades, SOC, formación específica).</w:t>
      </w:r>
    </w:p>
    <w:p>
      <w:pPr>
        <w:pStyle w:val="Heading2"/>
        <w:keepNext/>
        <w:keepLines/>
      </w:pPr>
      <w:r>
        <w:rPr>
          <w:color w:val="0066CC"/>
        </w:rPr>
        <w:t>Diapositiva 17 – Preguntas y Debate</w:t>
      </w:r>
    </w:p>
    <w:p>
      <w:pPr>
        <w:pStyle w:val="ListBullet"/>
        <w:keepLines w:val="1"/>
        <w:keepNext w:val="1"/>
        <w:widowControl w:val="1"/>
      </w:pPr>
      <w:r>
        <w:t>Espacio para que la alta dirección plantee dudas, preocupaciones o prioridades adicionales.</w:t>
      </w:r>
    </w:p>
    <w:p>
      <w:pPr>
        <w:pStyle w:val="ListBullet"/>
        <w:keepLines w:val="1"/>
        <w:widowControl w:val="1"/>
      </w:pPr>
      <w:r>
        <w:t>Sugerencia: orientar el debate hacia decisiones concretas (aprobación de iniciativas, reasignación de recursos, establecimiento de objetivos de madurez).</w:t>
      </w:r>
    </w:p>
    <w:p>
      <w:pPr>
        <w:pStyle w:val="Heading2"/>
        <w:keepNext/>
        <w:keepLines/>
      </w:pPr>
      <w:r>
        <w:rPr>
          <w:color w:val="0066CC"/>
        </w:rPr>
        <w:t>Nota de estilo</w:t>
      </w:r>
    </w:p>
    <w:p>
      <w:pPr>
        <w:pStyle w:val="ListBullet"/>
        <w:keepLines w:val="1"/>
        <w:keepNext w:val="1"/>
        <w:widowControl w:val="1"/>
      </w:pPr>
      <w:r>
        <w:t>Utilizar gráficos simples, con pocos colores y énfasis en los mensajes clave.</w:t>
      </w:r>
    </w:p>
    <w:p>
      <w:pPr>
        <w:pStyle w:val="ListBullet"/>
        <w:keepLines w:val="1"/>
        <w:keepNext w:val="1"/>
        <w:widowControl w:val="1"/>
      </w:pPr>
      <w:r>
        <w:t>Reservar los detalles técnicos para anexos o para sesiones específicas con equipos especializados.</w:t>
      </w:r>
    </w:p>
    <w:p>
      <w:pPr>
        <w:pStyle w:val="ListBullet"/>
        <w:keepLines w:val="1"/>
        <w:widowControl w:val="1"/>
      </w:pPr>
      <w:r>
        <w:t>Mantener un lenguaje claro, directo y orientado a riesgos, impactos y decisiones más que a jerga técnica.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