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OCTAVE Nacionales</w:t>
      </w:r>
    </w:p>
    <w:p>
      <w:r>
        <w:t>Guía rápida para orientarse en el conjunto de documentos que conectan los indicadores OCTAVE nacionales con GQM, PRAGMATIC, ENS, NIS2 y el cálculo de IGM/ROI.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archivos en formato Markdown:</w:t>
      </w:r>
    </w:p>
    <w:p>
      <w:pPr>
        <w:pStyle w:val="ListNumber"/>
        <w:keepLines w:val="1"/>
        <w:keepNext w:val="1"/>
        <w:widowControl w:val="1"/>
      </w:pPr>
      <w:r>
        <w:t>marco-gqm-pragmatic.md – Marco integrativo GQM + PRAGMATIC aplicado a los indicadores OCTAVE nacionales.</w:t>
      </w:r>
    </w:p>
    <w:p>
      <w:pPr>
        <w:pStyle w:val="ListNumber"/>
        <w:keepLines w:val="1"/>
        <w:keepNext w:val="1"/>
        <w:widowControl w:val="1"/>
      </w:pPr>
      <w:r>
        <w:t>matriz-pragmatic.md – Matriz de evaluación PRAGMATIC completa para las métricas principales de los 15 indicadores.</w:t>
      </w:r>
    </w:p>
    <w:p>
      <w:pPr>
        <w:pStyle w:val="ListNumber"/>
        <w:keepLines w:val="1"/>
        <w:keepNext w:val="1"/>
        <w:widowControl w:val="1"/>
      </w:pPr>
      <w:r>
        <w:t>narrativa-gqm-pragmatic.md – Narrativa explicativa para decisores, CISOs y equipos de análisis.</w:t>
      </w:r>
    </w:p>
    <w:p>
      <w:pPr>
        <w:pStyle w:val="ListNumber"/>
        <w:keepLines w:val="1"/>
        <w:keepNext w:val="1"/>
        <w:widowControl w:val="1"/>
      </w:pPr>
      <w:r>
        <w:t>mapeo-gqm-normas.md – Mapeo detallado de cada indicador/objetivo GQM a ENS, NIS2, ISO, RGPD y NIST CSF.</w:t>
      </w:r>
    </w:p>
    <w:p>
      <w:pPr>
        <w:pStyle w:val="ListNumber"/>
        <w:keepLines w:val="1"/>
        <w:keepNext w:val="1"/>
        <w:widowControl w:val="1"/>
      </w:pPr>
      <w:r>
        <w:t>plantilla-igm-roi-gqm.md – Plantilla de Excel (descrita en Markdown) para cálculo de IGM y ROI/ROSI alineada con GQM + PRAGMATIC.</w:t>
      </w:r>
    </w:p>
    <w:p>
      <w:pPr>
        <w:pStyle w:val="ListNumber"/>
        <w:keepLines w:val="1"/>
        <w:widowControl w:val="1"/>
      </w:pPr>
      <w:r>
        <w:t>ppt-gqm-pragmatic.md – Plantilla de reporte ejecutivo en PowerPoint para presentar el sistema de indicadores y resultados.</w:t>
      </w:r>
    </w:p>
    <w:p>
      <w:pPr>
        <w:pStyle w:val="Heading2"/>
        <w:keepNext/>
        <w:keepLines/>
      </w:pPr>
      <w:r>
        <w:rPr>
          <w:color w:val="0066CC"/>
        </w:rPr>
        <w:t>2. Cómo usar el kit (ruta sugerida)</w:t>
      </w:r>
    </w:p>
    <w:p>
      <w:pPr>
        <w:pStyle w:val="ListNumber"/>
        <w:keepLines w:val="1"/>
        <w:keepNext w:val="1"/>
        <w:widowControl w:val="1"/>
      </w:pPr>
      <w:r>
        <w:br/>
        <w:t>Entender el enfoque</w:t>
        <w:br/>
        <w:t xml:space="preserve">   Lea marco-gqm-pragmatic.md para comprender cómo se derivan las métricas a partir de objetivos nacionales y cómo se evalúa su calidad con PRAGMATIC.[web:79][web:82][web:83][web:86]</w:t>
        <w:br/>
      </w:r>
    </w:p>
    <w:p>
      <w:pPr>
        <w:pStyle w:val="ListNumber"/>
        <w:keepLines w:val="1"/>
        <w:keepNext w:val="1"/>
        <w:widowControl w:val="1"/>
      </w:pPr>
      <w:r>
        <w:br/>
        <w:t>Seleccionar y priorizar indicadores</w:t>
        <w:br/>
        <w:t xml:space="preserve">   Utilice matriz-pragmatic.md para identificar qué métricas ofrecen mayor valor (alta puntuación en Predictiva/Relevante/Accionable, sin suspender en Rentable) y cuáles requieren revisión.</w:t>
        <w:br/>
      </w:r>
    </w:p>
    <w:p>
      <w:pPr>
        <w:pStyle w:val="ListNumber"/>
        <w:keepLines w:val="1"/>
        <w:keepNext w:val="1"/>
        <w:widowControl w:val="1"/>
      </w:pPr>
      <w:r>
        <w:br/>
        <w:t>Asegurar el encaje normativo</w:t>
        <w:br/>
        <w:t xml:space="preserve">   Consulte mapeo-gqm-normas.md para verificar cómo cada indicador se alinea con ENS, NIS2, ISO 27001/27005, RGPD y NIST CSF.[web:60][web:63][web:71][web:66][web:84][web:93]</w:t>
        <w:br/>
      </w:r>
    </w:p>
    <w:p>
      <w:pPr>
        <w:pStyle w:val="ListNumber"/>
        <w:keepLines w:val="1"/>
        <w:keepNext w:val="1"/>
        <w:widowControl w:val="1"/>
      </w:pPr>
      <w:r>
        <w:br/>
        <w:t>Implementar el cálculo de IGM y ROI/ROSI</w:t>
        <w:br/>
        <w:t xml:space="preserve">   Use plantilla-igm-roi-gqm.md como guía para construir o adaptar el libro Excel en el que se integran:</w:t>
        <w:br/>
      </w:r>
    </w:p>
    <w:p>
      <w:pPr>
        <w:pStyle w:val="ListNumber"/>
        <w:keepLines w:val="1"/>
        <w:keepNext w:val="1"/>
        <w:widowControl w:val="1"/>
      </w:pPr>
      <w:r>
        <w:t>Las respuestas de la encuesta OCTAVE nacional.</w:t>
      </w:r>
    </w:p>
    <w:p>
      <w:pPr>
        <w:pStyle w:val="ListNumber"/>
        <w:keepLines w:val="1"/>
        <w:keepNext w:val="1"/>
        <w:widowControl w:val="1"/>
      </w:pPr>
      <w:r>
        <w:t>El cálculo del IGM por dominios de madurez.</w:t>
      </w:r>
    </w:p>
    <w:p>
      <w:pPr>
        <w:pStyle w:val="ListNumber"/>
        <w:keepLines w:val="1"/>
        <w:keepNext w:val="1"/>
        <w:widowControl w:val="1"/>
      </w:pPr>
      <w:r>
        <w:br/>
        <w:t>El análisis de pérdidas esperadas y ROI/ROSI de ciberseguridad.[web:59][web:65][web:67][web:70]</w:t>
        <w:br/>
      </w:r>
    </w:p>
    <w:p>
      <w:pPr>
        <w:pStyle w:val="ListNumber"/>
        <w:keepLines w:val="1"/>
        <w:keepNext w:val="1"/>
        <w:widowControl w:val="1"/>
      </w:pPr>
      <w:r>
        <w:br/>
        <w:t>Comunicar resultados y plan de acción</w:t>
        <w:br/>
        <w:t xml:space="preserve">   Partiendo de ppt-gqm-pragmatic.md, prepare un reporte ejecutivo para la alta dirección y los órganos de gobernanza, explicando:</w:t>
        <w:br/>
      </w:r>
    </w:p>
    <w:p>
      <w:pPr>
        <w:pStyle w:val="ListNumber"/>
        <w:keepLines w:val="1"/>
        <w:keepNext w:val="1"/>
        <w:widowControl w:val="1"/>
      </w:pPr>
      <w:r>
        <w:t>Qué se mide y por qué (OCTAVE + GQM).</w:t>
      </w:r>
    </w:p>
    <w:p>
      <w:pPr>
        <w:pStyle w:val="ListNumber"/>
        <w:keepLines w:val="1"/>
        <w:keepNext w:val="1"/>
        <w:widowControl w:val="1"/>
      </w:pPr>
      <w:r>
        <w:t>La calidad de las métricas (PRAGMATIC).</w:t>
      </w:r>
    </w:p>
    <w:p>
      <w:pPr>
        <w:pStyle w:val="ListNumber"/>
        <w:keepLines w:val="1"/>
        <w:keepNext w:val="1"/>
        <w:widowControl w:val="1"/>
      </w:pPr>
      <w:r>
        <w:br/>
        <w:t>Qué dicen los datos sobre madurez, riesgos y retorno de inversión.</w:t>
        <w:br/>
      </w:r>
    </w:p>
    <w:p>
      <w:pPr>
        <w:pStyle w:val="ListNumber"/>
        <w:keepLines w:val="1"/>
        <w:widowControl w:val="1"/>
      </w:pPr>
      <w:r>
        <w:br/>
        <w:t>Contextualizar y motivar</w:t>
        <w:br/>
        <w:t>narrativa-gqm-pragmatic.md ofrece un texto base para explicar el enfoque a públicos diversos y para acompañar documentos oficiales o talleres de arranque.</w:t>
        <w:br/>
      </w:r>
    </w:p>
    <w:p>
      <w:r>
        <w:rPr>
          <w:b/>
        </w:rPr>
        <w:t>Entender el enfoque</w:t>
      </w:r>
      <w:r/>
      <w:r>
        <w:br/>
        <w:t xml:space="preserve">   Lea </w:t>
      </w:r>
      <w:r>
        <w:rPr>
          <w:rFonts w:ascii="Courier New" w:hAnsi="Courier New"/>
          <w:sz w:val="18"/>
        </w:rPr>
        <w:t>marco-gqm-pragmatic.md</w:t>
      </w:r>
      <w:r>
        <w:t xml:space="preserve"> para comprender cómo se derivan las métricas a partir de objetivos nacionales y cómo se evalúa su calidad con PRAGMATIC.[web:79][web:82][web:83][web:86]</w:t>
      </w:r>
    </w:p>
    <w:p>
      <w:r>
        <w:rPr>
          <w:b/>
        </w:rPr>
        <w:t>Seleccionar y priorizar indicadores</w:t>
      </w:r>
      <w:r/>
      <w:r>
        <w:br/>
        <w:t xml:space="preserve">   Utilice </w:t>
      </w:r>
      <w:r>
        <w:rPr>
          <w:rFonts w:ascii="Courier New" w:hAnsi="Courier New"/>
          <w:sz w:val="18"/>
        </w:rPr>
        <w:t>matriz-pragmatic.md</w:t>
      </w:r>
      <w:r>
        <w:t xml:space="preserve"> para identificar qué métricas ofrecen mayor valor (alta puntuación en Predictiva/Relevante/Accionable, sin suspender en Rentable) y cuáles requieren revisión.</w:t>
      </w:r>
    </w:p>
    <w:p>
      <w:r>
        <w:rPr>
          <w:b/>
        </w:rPr>
        <w:t>Asegurar el encaje normativo</w:t>
      </w:r>
      <w:r/>
      <w:r>
        <w:br/>
        <w:t xml:space="preserve">   Consulte </w:t>
      </w:r>
      <w:r>
        <w:rPr>
          <w:rFonts w:ascii="Courier New" w:hAnsi="Courier New"/>
          <w:sz w:val="18"/>
        </w:rPr>
        <w:t>mapeo-gqm-normas.md</w:t>
      </w:r>
      <w:r>
        <w:t xml:space="preserve"> para verificar cómo cada indicador se alinea con ENS, NIS2, ISO 27001/27005, RGPD y NIST CSF.[web:60][web:63][web:71][web:66][web:84][web:93]</w:t>
      </w:r>
    </w:p>
    <w:p>
      <w:r>
        <w:rPr>
          <w:b/>
        </w:rPr>
        <w:t>Implementar el cálculo de IGM y ROI/ROSI</w:t>
      </w:r>
      <w:r/>
      <w:r>
        <w:br/>
        <w:t xml:space="preserve">   Use </w:t>
      </w:r>
      <w:r>
        <w:rPr>
          <w:rFonts w:ascii="Courier New" w:hAnsi="Courier New"/>
          <w:sz w:val="18"/>
        </w:rPr>
        <w:t>plantilla-igm-roi-gqm.md</w:t>
      </w:r>
      <w:r>
        <w:t xml:space="preserve"> como guía para construir o adaptar el libro Excel en el que se integran:</w:t>
      </w:r>
    </w:p>
    <w:p>
      <w:r>
        <w:t>El análisis de pérdidas esperadas y ROI/ROSI de ciberseguridad.[web:59][web:65][web:67][web:70]</w:t>
      </w:r>
    </w:p>
    <w:p>
      <w:r>
        <w:rPr>
          <w:b/>
        </w:rPr>
        <w:t>Comunicar resultados y plan de acción</w:t>
      </w:r>
      <w:r/>
      <w:r>
        <w:br/>
        <w:t xml:space="preserve">   Partiendo de </w:t>
      </w:r>
      <w:r>
        <w:rPr>
          <w:rFonts w:ascii="Courier New" w:hAnsi="Courier New"/>
          <w:sz w:val="18"/>
        </w:rPr>
        <w:t>ppt-gqm-pragmatic.md</w:t>
      </w:r>
      <w:r>
        <w:t>, prepare un reporte ejecutivo para la alta dirección y los órganos de gobernanza, explicando:</w:t>
      </w:r>
    </w:p>
    <w:p>
      <w:r>
        <w:t>Qué dicen los datos sobre madurez, riesgos y retorno de inversión.</w:t>
      </w:r>
    </w:p>
    <w:p>
      <w:r>
        <w:rPr>
          <w:b/>
        </w:rPr>
        <w:t>Contextualizar y motivar</w:t>
      </w:r>
      <w:r/>
      <w:r>
        <w:br/>
      </w:r>
      <w:r>
        <w:rPr>
          <w:rFonts w:ascii="Courier New" w:hAnsi="Courier New"/>
          <w:sz w:val="18"/>
        </w:rPr>
        <w:t>narrativa-gqm-pragmatic.md</w:t>
      </w:r>
      <w:r>
        <w:t xml:space="preserve"> ofrece un texto base para explicar el enfoque a públicos diversos y para acompañar documentos oficiales o talleres de arranque.</w:t>
      </w:r>
    </w:p>
    <w:p>
      <w:pPr>
        <w:pStyle w:val="Heading2"/>
        <w:keepNext/>
        <w:keepLines/>
      </w:pPr>
      <w:r>
        <w:rPr>
          <w:color w:val="0066CC"/>
        </w:rPr>
        <w:t>3. Relación con la encuesta OCTAVE nacional</w:t>
      </w:r>
    </w:p>
    <w:p>
      <w:r>
        <w:t xml:space="preserve">Este kit está pensado para integrarse con el </w:t>
      </w:r>
      <w:r>
        <w:rPr>
          <w:b/>
        </w:rPr>
        <w:t>Modelo de Encuesta OCTAVE Nacional</w:t>
      </w:r>
      <w:r>
        <w:t xml:space="preserve"> y la </w:t>
      </w:r>
      <w:r>
        <w:rPr>
          <w:b/>
        </w:rPr>
        <w:t>Guía metodológica</w:t>
      </w:r>
      <w:r>
        <w:t xml:space="preserve"> previamente definidos:</w:t>
      </w:r>
    </w:p>
    <w:p>
      <w:pPr>
        <w:pStyle w:val="ListBullet"/>
        <w:keepLines w:val="1"/>
        <w:keepNext w:val="1"/>
        <w:widowControl w:val="1"/>
      </w:pPr>
      <w:r>
        <w:t>Los dominios de madurez usados en el IGM se basan en los bloques de la encuesta (Gobernanza, Activos, Riesgo, etc.).</w:t>
      </w:r>
    </w:p>
    <w:p>
      <w:pPr>
        <w:pStyle w:val="ListBullet"/>
        <w:keepLines w:val="1"/>
        <w:keepNext w:val="1"/>
        <w:widowControl w:val="1"/>
      </w:pPr>
      <w:r>
        <w:t>Los indicadores nacionales se alimentan tanto de fuentes técnicas (INCIBE, CCN-CERT, ENS, ENISA, OCDE) como de las respuestas de la encuesta.[web:19][web:21][web:51][web:87]</w:t>
      </w:r>
    </w:p>
    <w:p>
      <w:pPr>
        <w:pStyle w:val="ListBullet"/>
        <w:keepLines w:val="1"/>
        <w:widowControl w:val="1"/>
      </w:pPr>
      <w:r>
        <w:t>El enfoque GQM + PRAGMATIC garantiza que la ampliación del catálogo de métricas mantenga coherencia con los objetivos estratégicos.</w:t>
      </w:r>
    </w:p>
    <w:p>
      <w:pPr>
        <w:pStyle w:val="Heading2"/>
        <w:keepNext/>
        <w:keepLines/>
      </w:pPr>
      <w:r>
        <w:rPr>
          <w:color w:val="0066CC"/>
        </w:rPr>
        <w:t>4. Buenas prácticas de despliegue</w:t>
      </w:r>
    </w:p>
    <w:p>
      <w:pPr>
        <w:pStyle w:val="ListBullet"/>
        <w:keepLines w:val="1"/>
        <w:keepNext w:val="1"/>
        <w:widowControl w:val="1"/>
      </w:pPr>
      <w:r>
        <w:t>Iterar con prudencia: empezar con el subconjunto de métricas mejor puntuado PRAGMATIC y ampliar después.</w:t>
      </w:r>
    </w:p>
    <w:p>
      <w:pPr>
        <w:pStyle w:val="ListBullet"/>
        <w:keepLines w:val="1"/>
        <w:keepNext w:val="1"/>
        <w:widowControl w:val="1"/>
      </w:pPr>
      <w:r>
        <w:t>Documentar decisiones: registrar por qué se eligen ciertos indicadores, qué fuentes se usan y qué supuestos hay tras los cálculos.</w:t>
      </w:r>
    </w:p>
    <w:p>
      <w:pPr>
        <w:pStyle w:val="ListBullet"/>
        <w:keepLines w:val="1"/>
        <w:keepNext w:val="1"/>
        <w:widowControl w:val="1"/>
      </w:pPr>
      <w:r>
        <w:t>Revisar al ritmo de la normativa: actualizar el mapeo y el catálogo cuando se produzcan cambios relevantes en ENS, NIS2, guías ENISA/OCDE o índices internacionales.[web:19][web:21][web:51][web:84][web:93]</w:t>
      </w:r>
    </w:p>
    <w:p>
      <w:pPr>
        <w:pStyle w:val="ListBullet"/>
        <w:keepLines w:val="1"/>
        <w:widowControl w:val="1"/>
      </w:pPr>
      <w:r>
        <w:t>Distinguir niveles de reporte: no todas las métricas son para el Consejo de Ministros; algunas pertenecen al CISO nacional, otras a equipos técnicos.</w:t>
      </w:r>
    </w:p>
    <w:p>
      <w:pPr>
        <w:pStyle w:val="Heading2"/>
        <w:keepNext/>
        <w:keepLines/>
      </w:pPr>
      <w:r>
        <w:rPr>
          <w:color w:val="0066CC"/>
        </w:rPr>
        <w:t>5. Mensaje final</w:t>
      </w:r>
    </w:p>
    <w:p>
      <w:r>
        <w:t xml:space="preserve">Este kit no promete la métrica perfecta (eso no existe), pero sí ofrece algo mucho más valioso: </w:t>
      </w:r>
      <w:r>
        <w:rPr>
          <w:b/>
        </w:rPr>
        <w:t>un sistema razonado y razonable</w:t>
      </w:r>
      <w:r>
        <w:t xml:space="preserve"> para decidir qué medir, cómo medirlo y cómo leer lo que las métricas dicen… y lo que no dicen.</w:t>
      </w:r>
    </w:p>
    <w:p>
      <w:r>
        <w:t>Si se usa con disciplina y espíritu crítico, puede convertir el debate sobre ciberseguridad nacional en algo más parecido a una conversación informada y menos a una partida de adivinación con gráficos de colores.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