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 – Kit de Encuesta OCTAVE Nacional</w:t>
      </w:r>
    </w:p>
    <w:p>
      <w:r>
        <w:t>Instrucciones rápidas para orientarse en el kit de documentos de la Encuesta OCTAVE Nacional antes de que empiecen a llover correos, gráficos y preguntas incómodas.</w:t>
      </w:r>
    </w:p>
    <w:p>
      <w:pPr>
        <w:pStyle w:val="Heading2"/>
        <w:keepNext/>
        <w:keepLines/>
      </w:pPr>
      <w:r>
        <w:rPr>
          <w:color w:val="0066CC"/>
        </w:rPr>
        <w:t>1. Contenido del kit</w:t>
      </w:r>
    </w:p>
    <w:p>
      <w:r>
        <w:t>El kit incluye los siguientes archivos en formato Markdown:</w:t>
      </w:r>
    </w:p>
    <w:p>
      <w:pPr>
        <w:pStyle w:val="ListNumber"/>
        <w:keepLines w:val="1"/>
        <w:keepNext w:val="1"/>
        <w:widowControl w:val="1"/>
      </w:pPr>
      <w:r>
        <w:t>encuesta-octave.md – Modelo de encuesta integral.</w:t>
      </w:r>
    </w:p>
    <w:p>
      <w:pPr>
        <w:pStyle w:val="ListNumber"/>
        <w:keepLines w:val="1"/>
        <w:keepNext w:val="1"/>
        <w:widowControl w:val="1"/>
      </w:pPr>
      <w:r>
        <w:t>guia-metodo.md – Guía metodológica detallada.</w:t>
      </w:r>
    </w:p>
    <w:p>
      <w:pPr>
        <w:pStyle w:val="ListNumber"/>
        <w:keepLines w:val="1"/>
        <w:keepNext w:val="1"/>
        <w:widowControl w:val="1"/>
      </w:pPr>
      <w:r>
        <w:t>narrativa-exp.md – Narrativa explicativa para la invitación y contextualización.</w:t>
      </w:r>
    </w:p>
    <w:p>
      <w:pPr>
        <w:pStyle w:val="ListNumber"/>
        <w:keepLines w:val="1"/>
        <w:keepNext w:val="1"/>
        <w:widowControl w:val="1"/>
      </w:pPr>
      <w:r>
        <w:t>mapeo-normas.md – Tabla de mapeo de preguntas a requisitos normativos.</w:t>
      </w:r>
    </w:p>
    <w:p>
      <w:pPr>
        <w:pStyle w:val="ListNumber"/>
        <w:keepLines w:val="1"/>
        <w:keepNext w:val="1"/>
        <w:widowControl w:val="1"/>
      </w:pPr>
      <w:r>
        <w:t>plantilla-igm-roi.md – Plantilla para implementar en Excel el cálculo de IGM y ROI/ROSI.</w:t>
      </w:r>
    </w:p>
    <w:p>
      <w:pPr>
        <w:pStyle w:val="ListNumber"/>
        <w:keepLines w:val="1"/>
        <w:widowControl w:val="1"/>
      </w:pPr>
      <w:r>
        <w:t>ppt-reporte.md – Plantilla de reporte ejecutivo en formato de guion de PowerPoint.</w:t>
      </w:r>
    </w:p>
    <w:p>
      <w:r>
        <w:t>Cada archivo está pensado para ser utilizado y adaptado por equipos de ciberseguridad, riesgos, continuidad de negocio y dirección.</w:t>
      </w:r>
    </w:p>
    <w:p>
      <w:pPr>
        <w:pStyle w:val="Heading2"/>
        <w:keepNext/>
        <w:keepLines/>
      </w:pPr>
      <w:r>
        <w:rPr>
          <w:color w:val="0066CC"/>
        </w:rPr>
        <w:t>2. Cómo empezar (ruta rápida)</w:t>
      </w:r>
    </w:p>
    <w:p>
      <w:pPr>
        <w:pStyle w:val="ListNumber"/>
        <w:keepLines w:val="1"/>
        <w:keepNext w:val="1"/>
        <w:widowControl w:val="1"/>
      </w:pPr>
      <w:r>
        <w:br/>
        <w:t>Diseño de la encuesta</w:t>
        <w:br/>
        <w:t xml:space="preserve">   Revise y adapte encuesta-octave.md a la realidad de su organización o sector (añadiendo o ajustando preguntas y opciones si es necesario).</w:t>
        <w:br/>
      </w:r>
    </w:p>
    <w:p>
      <w:pPr>
        <w:pStyle w:val="ListNumber"/>
        <w:keepLines w:val="1"/>
        <w:keepNext w:val="1"/>
        <w:widowControl w:val="1"/>
      </w:pPr>
      <w:r>
        <w:br/>
        <w:t>Configuración metodológica</w:t>
        <w:br/>
        <w:t xml:space="preserve">   Lea guia-metodo.md para entender el modelo de dominios, el cálculo del Índice Global de Madurez (IGM) y la lógica de ROI/ROSI.</w:t>
        <w:br/>
      </w:r>
    </w:p>
    <w:p>
      <w:pPr>
        <w:pStyle w:val="ListNumber"/>
        <w:keepLines w:val="1"/>
        <w:keepNext w:val="1"/>
        <w:widowControl w:val="1"/>
      </w:pPr>
      <w:r>
        <w:br/>
        <w:t>Aprobación interna</w:t>
        <w:br/>
        <w:t xml:space="preserve">   Utilice narrativa-exp.md y ppt-reporte.md para explicar a la dirección el propósito de la encuesta y el tipo de salida que obtendrán.</w:t>
        <w:br/>
      </w:r>
    </w:p>
    <w:p>
      <w:pPr>
        <w:pStyle w:val="ListNumber"/>
        <w:keepLines w:val="1"/>
        <w:keepNext w:val="1"/>
        <w:widowControl w:val="1"/>
      </w:pPr>
      <w:r>
        <w:br/>
        <w:t>Alineamiento normativo</w:t>
        <w:br/>
        <w:t xml:space="preserve">   Consulte mapeo-normas.md para verificar que las preguntas cubren las obligaciones clave de ENS, NIS2, ISO 27001, RGPD y otros marcos relevantes.[web:60][web:63][web:71][web:66]</w:t>
        <w:br/>
      </w:r>
    </w:p>
    <w:p>
      <w:pPr>
        <w:pStyle w:val="ListNumber"/>
        <w:keepLines w:val="1"/>
        <w:widowControl w:val="1"/>
      </w:pPr>
      <w:r>
        <w:br/>
        <w:t>Implementación técnica</w:t>
        <w:br/>
        <w:t xml:space="preserve">   Use plantilla-igm-roi.md como guía para construir el libro de Excel (u otra herramienta) donde se calcularán el IGM y las métricas de ROI/ROSI.[web:59][web:65][web:67][web:70]</w:t>
        <w:br/>
      </w:r>
    </w:p>
    <w:p>
      <w:r>
        <w:rPr>
          <w:b/>
        </w:rPr>
        <w:t>Diseño de la encuesta</w:t>
      </w:r>
      <w:r/>
      <w:r>
        <w:br/>
        <w:t xml:space="preserve">   Revise y adapte </w:t>
      </w:r>
      <w:r>
        <w:rPr>
          <w:rFonts w:ascii="Courier New" w:hAnsi="Courier New"/>
          <w:sz w:val="18"/>
        </w:rPr>
        <w:t>encuesta-octave.md</w:t>
      </w:r>
      <w:r>
        <w:t xml:space="preserve"> a la realidad de su organización o sector (añadiendo o ajustando preguntas y opciones si es necesario).</w:t>
      </w:r>
    </w:p>
    <w:p>
      <w:r>
        <w:rPr>
          <w:b/>
        </w:rPr>
        <w:t>Configuración metodológica</w:t>
      </w:r>
      <w:r/>
      <w:r>
        <w:br/>
        <w:t xml:space="preserve">   Lea </w:t>
      </w:r>
      <w:r>
        <w:rPr>
          <w:rFonts w:ascii="Courier New" w:hAnsi="Courier New"/>
          <w:sz w:val="18"/>
        </w:rPr>
        <w:t>guia-metodo.md</w:t>
      </w:r>
      <w:r>
        <w:t xml:space="preserve"> para entender el modelo de dominios, el cálculo del Índice Global de Madurez (IGM) y la lógica de ROI/ROSI.</w:t>
      </w:r>
    </w:p>
    <w:p>
      <w:r>
        <w:rPr>
          <w:b/>
        </w:rPr>
        <w:t>Aprobación interna</w:t>
      </w:r>
      <w:r/>
      <w:r>
        <w:br/>
        <w:t xml:space="preserve">   Utilice </w:t>
      </w:r>
      <w:r>
        <w:rPr>
          <w:rFonts w:ascii="Courier New" w:hAnsi="Courier New"/>
          <w:sz w:val="18"/>
        </w:rPr>
        <w:t>narrativa-exp.md</w:t>
      </w:r>
      <w:r>
        <w:t xml:space="preserve"> y </w:t>
      </w:r>
      <w:r>
        <w:rPr>
          <w:rFonts w:ascii="Courier New" w:hAnsi="Courier New"/>
          <w:sz w:val="18"/>
        </w:rPr>
        <w:t>ppt-reporte.md</w:t>
      </w:r>
      <w:r>
        <w:t xml:space="preserve"> para explicar a la dirección el propósito de la encuesta y el tipo de salida que obtendrán.</w:t>
      </w:r>
    </w:p>
    <w:p>
      <w:r>
        <w:rPr>
          <w:b/>
        </w:rPr>
        <w:t>Alineamiento normativo</w:t>
      </w:r>
      <w:r/>
      <w:r>
        <w:br/>
        <w:t xml:space="preserve">   Consulte </w:t>
      </w:r>
      <w:r>
        <w:rPr>
          <w:rFonts w:ascii="Courier New" w:hAnsi="Courier New"/>
          <w:sz w:val="18"/>
        </w:rPr>
        <w:t>mapeo-normas.md</w:t>
      </w:r>
      <w:r>
        <w:t xml:space="preserve"> para verificar que las preguntas cubren las obligaciones clave de ENS, NIS2, ISO 27001, RGPD y otros marcos relevantes.[web:60][web:63][web:71][web:66]</w:t>
      </w:r>
    </w:p>
    <w:p>
      <w:r>
        <w:rPr>
          <w:b/>
        </w:rPr>
        <w:t>Implementación técnica</w:t>
      </w:r>
      <w:r/>
      <w:r>
        <w:br/>
        <w:t xml:space="preserve">   Use </w:t>
      </w:r>
      <w:r>
        <w:rPr>
          <w:rFonts w:ascii="Courier New" w:hAnsi="Courier New"/>
          <w:sz w:val="18"/>
        </w:rPr>
        <w:t>plantilla-igm-roi.md</w:t>
      </w:r>
      <w:r>
        <w:t xml:space="preserve"> como guía para construir el libro de Excel (u otra herramienta) donde se calcularán el IGM y las métricas de ROI/ROSI.[web:59][web:65][web:67][web:70]</w:t>
      </w:r>
    </w:p>
    <w:p>
      <w:pPr>
        <w:pStyle w:val="Heading2"/>
        <w:keepNext/>
        <w:keepLines/>
      </w:pPr>
      <w:r>
        <w:rPr>
          <w:color w:val="0066CC"/>
        </w:rPr>
        <w:t>3. Flujo sugerido de trabajo</w:t>
      </w:r>
    </w:p>
    <w:p>
      <w:pPr>
        <w:pStyle w:val="ListNumber"/>
        <w:keepLines w:val="1"/>
        <w:keepNext w:val="1"/>
        <w:widowControl w:val="1"/>
      </w:pPr>
      <w:r>
        <w:t>Preparación</w:t>
      </w:r>
    </w:p>
    <w:p>
      <w:pPr>
        <w:pStyle w:val="ListNumber"/>
        <w:keepLines w:val="1"/>
        <w:keepNext w:val="1"/>
        <w:widowControl w:val="1"/>
      </w:pPr>
      <w:r>
        <w:t>Adaptar la encuesta al contexto concreto (sector, tamaño, obligaciones regulatorias).</w:t>
      </w:r>
    </w:p>
    <w:p>
      <w:pPr>
        <w:pStyle w:val="ListNumber"/>
        <w:keepLines w:val="1"/>
        <w:keepNext w:val="1"/>
        <w:widowControl w:val="1"/>
      </w:pPr>
      <w:r>
        <w:br/>
        <w:t>Definir la población objetivo (organizaciones, unidades internas) y el calendario de despliegue.</w:t>
        <w:br/>
      </w:r>
    </w:p>
    <w:p>
      <w:pPr>
        <w:pStyle w:val="ListNumber"/>
        <w:keepLines w:val="1"/>
        <w:keepNext w:val="1"/>
        <w:widowControl w:val="1"/>
      </w:pPr>
      <w:r>
        <w:br/>
        <w:t>Lanzamiento</w:t>
        <w:br/>
      </w:r>
    </w:p>
    <w:p>
      <w:pPr>
        <w:pStyle w:val="ListNumber"/>
        <w:keepLines w:val="1"/>
        <w:keepNext w:val="1"/>
        <w:widowControl w:val="1"/>
      </w:pPr>
      <w:r>
        <w:t>Enviar la invitación basada en narrativa-exp.md.</w:t>
      </w:r>
    </w:p>
    <w:p>
      <w:pPr>
        <w:pStyle w:val="ListNumber"/>
        <w:keepLines w:val="1"/>
        <w:keepNext w:val="1"/>
        <w:widowControl w:val="1"/>
      </w:pPr>
      <w:r>
        <w:br/>
        <w:t>Establecer un punto de contacto para dudas técnicas o metodológicas.</w:t>
        <w:br/>
      </w:r>
    </w:p>
    <w:p>
      <w:pPr>
        <w:pStyle w:val="ListNumber"/>
        <w:keepLines w:val="1"/>
        <w:keepNext w:val="1"/>
        <w:widowControl w:val="1"/>
      </w:pPr>
      <w:r>
        <w:br/>
        <w:t>Recogida de respuestas</w:t>
        <w:br/>
      </w:r>
    </w:p>
    <w:p>
      <w:pPr>
        <w:pStyle w:val="ListNumber"/>
        <w:keepLines w:val="1"/>
        <w:keepNext w:val="1"/>
        <w:widowControl w:val="1"/>
      </w:pPr>
      <w:r>
        <w:t>Centralizar resultados en el libro de Excel construido a partir de plantilla-igm-roi.md.</w:t>
      </w:r>
    </w:p>
    <w:p>
      <w:pPr>
        <w:pStyle w:val="ListNumber"/>
        <w:keepLines w:val="1"/>
        <w:keepNext w:val="1"/>
        <w:widowControl w:val="1"/>
      </w:pPr>
      <w:r>
        <w:br/>
        <w:t>Aplicar controles básicos de calidad (incoherencias, datos faltantes).</w:t>
        <w:br/>
      </w:r>
    </w:p>
    <w:p>
      <w:pPr>
        <w:pStyle w:val="ListNumber"/>
        <w:keepLines w:val="1"/>
        <w:keepNext w:val="1"/>
        <w:widowControl w:val="1"/>
      </w:pPr>
      <w:r>
        <w:br/>
        <w:t>Análisis</w:t>
        <w:br/>
      </w:r>
    </w:p>
    <w:p>
      <w:pPr>
        <w:pStyle w:val="ListNumber"/>
        <w:keepLines w:val="1"/>
        <w:keepNext w:val="1"/>
        <w:widowControl w:val="1"/>
      </w:pPr>
      <w:r>
        <w:t>Calcular el IGM por organización y por dominio.</w:t>
      </w:r>
    </w:p>
    <w:p>
      <w:pPr>
        <w:pStyle w:val="ListNumber"/>
        <w:keepLines w:val="1"/>
        <w:keepNext w:val="1"/>
        <w:widowControl w:val="1"/>
      </w:pPr>
      <w:r>
        <w:t>Derivar, cuando proceda, estimaciones de ROSI/ROI.</w:t>
      </w:r>
    </w:p>
    <w:p>
      <w:pPr>
        <w:pStyle w:val="ListNumber"/>
        <w:keepLines w:val="1"/>
        <w:keepNext w:val="1"/>
        <w:widowControl w:val="1"/>
      </w:pPr>
      <w:r>
        <w:br/>
        <w:t>Revisar las implicaciones normativas utilizando mapeo-normas.md.</w:t>
        <w:br/>
      </w:r>
    </w:p>
    <w:p>
      <w:pPr>
        <w:pStyle w:val="ListNumber"/>
        <w:keepLines w:val="1"/>
        <w:keepNext w:val="1"/>
        <w:widowControl w:val="1"/>
      </w:pPr>
      <w:r>
        <w:br/>
        <w:t>Comunicación</w:t>
        <w:br/>
      </w:r>
    </w:p>
    <w:p>
      <w:pPr>
        <w:pStyle w:val="ListNumber"/>
        <w:keepLines w:val="1"/>
        <w:keepNext w:val="1"/>
        <w:widowControl w:val="1"/>
      </w:pPr>
      <w:r>
        <w:t>Preparar un reporte ejecutivo siguiendo la estructura de ppt-reporte.md.</w:t>
      </w:r>
    </w:p>
    <w:p>
      <w:pPr>
        <w:pStyle w:val="ListNumber"/>
        <w:keepLines w:val="1"/>
        <w:keepNext w:val="1"/>
        <w:widowControl w:val="1"/>
      </w:pPr>
      <w:r>
        <w:br/>
        <w:t>Compartir resultados y plan de acción con los equipos y la alta dirección.</w:t>
        <w:br/>
      </w:r>
    </w:p>
    <w:p>
      <w:pPr>
        <w:pStyle w:val="ListNumber"/>
        <w:keepLines w:val="1"/>
        <w:keepNext w:val="1"/>
        <w:widowControl w:val="1"/>
      </w:pPr>
      <w:r>
        <w:br/>
        <w:t>Revisión y mejora</w:t>
        <w:br/>
      </w:r>
    </w:p>
    <w:p>
      <w:pPr>
        <w:pStyle w:val="ListNumber"/>
        <w:keepLines w:val="1"/>
        <w:keepNext w:val="1"/>
        <w:widowControl w:val="1"/>
      </w:pPr>
      <w:r>
        <w:t>Documentar lecciones aprendidas (por ejemplo, preguntas poco claras, dominios con falta de granularidad).</w:t>
      </w:r>
    </w:p>
    <w:p>
      <w:pPr>
        <w:pStyle w:val="ListNumber"/>
        <w:keepLines w:val="1"/>
        <w:widowControl w:val="1"/>
      </w:pPr>
      <w:r>
        <w:t>Ajustar el cuestionario y los pesos de dominios para futuras ediciones.</w:t>
      </w:r>
    </w:p>
    <w:p>
      <w:r>
        <w:t>Definir la población objetivo (organizaciones, unidades internas) y el calendario de despliegue.</w:t>
      </w:r>
    </w:p>
    <w:p>
      <w:r>
        <w:rPr>
          <w:b/>
        </w:rPr>
        <w:t>Lanzamiento</w:t>
      </w:r>
    </w:p>
    <w:p>
      <w:r>
        <w:t>Establecer un punto de contacto para dudas técnicas o metodológicas.</w:t>
      </w:r>
    </w:p>
    <w:p>
      <w:r>
        <w:rPr>
          <w:b/>
        </w:rPr>
        <w:t>Recogida de respuestas</w:t>
      </w:r>
    </w:p>
    <w:p>
      <w:r>
        <w:t>Aplicar controles básicos de calidad (incoherencias, datos faltantes).</w:t>
      </w:r>
    </w:p>
    <w:p>
      <w:r>
        <w:rPr>
          <w:b/>
        </w:rPr>
        <w:t>Análisis</w:t>
      </w:r>
    </w:p>
    <w:p>
      <w:r>
        <w:t xml:space="preserve">Revisar las implicaciones normativas utilizando </w:t>
      </w:r>
      <w:r>
        <w:rPr>
          <w:rFonts w:ascii="Courier New" w:hAnsi="Courier New"/>
          <w:sz w:val="18"/>
        </w:rPr>
        <w:t>mapeo-normas.md</w:t>
      </w:r>
      <w:r>
        <w:t>.</w:t>
      </w:r>
    </w:p>
    <w:p>
      <w:r>
        <w:rPr>
          <w:b/>
        </w:rPr>
        <w:t>Comunicación</w:t>
      </w:r>
    </w:p>
    <w:p>
      <w:r>
        <w:t>Compartir resultados y plan de acción con los equipos y la alta dirección.</w:t>
      </w:r>
    </w:p>
    <w:p>
      <w:r>
        <w:rPr>
          <w:b/>
        </w:rPr>
        <w:t>Revisión y mejora</w:t>
      </w:r>
    </w:p>
    <w:p>
      <w:pPr>
        <w:pStyle w:val="Heading2"/>
        <w:keepNext/>
        <w:keepLines/>
      </w:pPr>
      <w:r>
        <w:rPr>
          <w:color w:val="0066CC"/>
        </w:rPr>
        <w:t>4. Relación con marcos y buenas prácticas</w:t>
      </w:r>
    </w:p>
    <w:p>
      <w:r>
        <w:t>El kit se ha diseñado para encajar con:</w:t>
      </w:r>
    </w:p>
    <w:p>
      <w:pPr>
        <w:pStyle w:val="ListBullet"/>
        <w:keepLines w:val="1"/>
        <w:keepNext w:val="1"/>
        <w:widowControl w:val="1"/>
      </w:pPr>
      <w:r>
        <w:t>OCTAVE (Allegro/FORTE): foco en activos críticos, criterios de impacto y gestión del riesgo basada en negocio.</w:t>
      </w:r>
    </w:p>
    <w:p>
      <w:pPr>
        <w:pStyle w:val="ListBullet"/>
        <w:keepLines w:val="1"/>
        <w:keepNext w:val="1"/>
        <w:widowControl w:val="1"/>
      </w:pPr>
      <w:r>
        <w:t>ENS (RD 311/2022): principios básicos, requisitos mínimos y análisis de riesgos.[web:60][web:63][web:71]</w:t>
      </w:r>
    </w:p>
    <w:p>
      <w:pPr>
        <w:pStyle w:val="ListBullet"/>
        <w:keepLines w:val="1"/>
        <w:keepNext w:val="1"/>
        <w:widowControl w:val="1"/>
      </w:pPr>
      <w:r>
        <w:t>NIS2: obligaciones de gestión de riesgos y notificación para operadores esenciales e importantes.</w:t>
      </w:r>
    </w:p>
    <w:p>
      <w:pPr>
        <w:pStyle w:val="ListBullet"/>
        <w:keepLines w:val="1"/>
        <w:keepNext w:val="1"/>
        <w:widowControl w:val="1"/>
      </w:pPr>
      <w:r>
        <w:t>ISO 27001/27005, ISO 22301, NIST CSF: enfoque de sistema de gestión, gestión de riesgos y resiliencia.[web:66]</w:t>
      </w:r>
    </w:p>
    <w:p>
      <w:pPr>
        <w:pStyle w:val="ListBullet"/>
        <w:keepLines w:val="1"/>
        <w:widowControl w:val="1"/>
      </w:pPr>
      <w:r>
        <w:t>Guías de medición de ciberseguridad de ENISA y la OCDE, y buenas prácticas de ROI/ROSI.[web:19][web:21][web:51][web:59][web:65][web:67][web:70]</w:t>
      </w:r>
    </w:p>
    <w:p>
      <w:r>
        <w:t xml:space="preserve">No sustituye a ningún marco, pero sí ayuda a </w:t>
      </w:r>
      <w:r>
        <w:rPr>
          <w:b/>
        </w:rPr>
        <w:t>traducirlos a preguntas prácticas</w:t>
      </w:r>
      <w:r>
        <w:t xml:space="preserve"> y a métricas comprensibles para quienes toman decisiones.</w:t>
      </w:r>
    </w:p>
    <w:p>
      <w:pPr>
        <w:pStyle w:val="Heading2"/>
        <w:keepNext/>
        <w:keepLines/>
      </w:pPr>
      <w:r>
        <w:rPr>
          <w:color w:val="0066CC"/>
        </w:rPr>
        <w:t>5. Adaptación y licencia de uso</w:t>
      </w:r>
    </w:p>
    <w:p>
      <w:pPr>
        <w:pStyle w:val="ListBullet"/>
        <w:keepLines w:val="1"/>
        <w:keepNext w:val="1"/>
        <w:widowControl w:val="1"/>
      </w:pPr>
      <w:r>
        <w:t>Los textos y estructuras proporcionados están pensados para ser adaptados libremente a cada organización, manteniendo la atribución intelectual cuando sea pertinente.</w:t>
      </w:r>
    </w:p>
    <w:p>
      <w:pPr>
        <w:pStyle w:val="ListBullet"/>
        <w:keepLines w:val="1"/>
        <w:keepNext w:val="1"/>
        <w:widowControl w:val="1"/>
      </w:pPr>
      <w:r>
        <w:t>Se recomienda versionar internamente los cambios (por ejemplo, v1.1, v1.2) y documentar en cada versión:</w:t>
      </w:r>
    </w:p>
    <w:p>
      <w:pPr>
        <w:pStyle w:val="ListBullet"/>
        <w:keepLines w:val="1"/>
        <w:keepNext w:val="1"/>
        <w:widowControl w:val="1"/>
      </w:pPr>
      <w:r>
        <w:t>Fecha.</w:t>
      </w:r>
    </w:p>
    <w:p>
      <w:pPr>
        <w:pStyle w:val="ListBullet"/>
        <w:keepLines w:val="1"/>
        <w:keepNext w:val="1"/>
        <w:widowControl w:val="1"/>
      </w:pPr>
      <w:r>
        <w:t>Cambios principales.</w:t>
      </w:r>
    </w:p>
    <w:p>
      <w:pPr>
        <w:pStyle w:val="ListBullet"/>
        <w:keepLines w:val="1"/>
        <w:widowControl w:val="1"/>
      </w:pPr>
      <w:r>
        <w:t>Motivos (por ejemplo, actualización normativa, lecciones de despliegues previos).</w:t>
      </w:r>
    </w:p>
    <w:p>
      <w:pPr>
        <w:pStyle w:val="Heading2"/>
        <w:keepNext/>
        <w:keepLines/>
      </w:pPr>
      <w:r>
        <w:rPr>
          <w:color w:val="0066CC"/>
        </w:rPr>
        <w:t>6. Sugerencias finales</w:t>
      </w:r>
    </w:p>
    <w:p>
      <w:pPr>
        <w:pStyle w:val="ListBullet"/>
        <w:keepLines w:val="1"/>
        <w:keepNext w:val="1"/>
        <w:widowControl w:val="1"/>
      </w:pPr>
      <w:r>
        <w:t>Evite convertir el kit en un ejercicio meramente formal: sin análisis, sin decisiones y sin seguimiento, ningún cuestionario salva a nadie.</w:t>
      </w:r>
    </w:p>
    <w:p>
      <w:pPr>
        <w:pStyle w:val="ListBullet"/>
        <w:keepLines w:val="1"/>
        <w:keepNext w:val="1"/>
        <w:widowControl w:val="1"/>
      </w:pPr>
      <w:r>
        <w:t>Use los resultados para priorizar pocas cosas bien antes que intentar hacerlo todo a la vez.</w:t>
      </w:r>
    </w:p>
    <w:p>
      <w:pPr>
        <w:pStyle w:val="ListBullet"/>
        <w:keepLines w:val="1"/>
        <w:widowControl w:val="1"/>
      </w:pPr>
      <w:r>
        <w:t>Revise periódicamente las hipótesis de cálculo de IGM y ROI/ROSI, y contraste las conclusiones con la experiencia real (incidentes, auditorías, ejercicios de crisis).</w:t>
      </w:r>
    </w:p>
    <w:p>
      <w:r>
        <w:t xml:space="preserve">Si algo ha demostrado la experiencia en ciberseguridad es que </w:t>
      </w:r>
      <w:r>
        <w:rPr>
          <w:b/>
        </w:rPr>
        <w:t>la realidad no respeta los guiones</w:t>
      </w:r>
      <w:r>
        <w:t>. Pero contar con un buen guion –como este kit– ayuda mucho cuando llega el momento de improvisar.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