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📘 GUÍA METODOLÓGICA DETALLADA</w:t>
      </w:r>
    </w:p>
    <w:p>
      <w:pPr>
        <w:pStyle w:val="Heading2"/>
        <w:keepNext/>
        <w:keepLines/>
      </w:pPr>
      <w:r>
        <w:rPr>
          <w:color w:val="0066CC"/>
        </w:rPr>
        <w:t>Diseño, Validación, Muestreo y Análisis de la Encuesta CAPEC-ESP</w:t>
      </w:r>
    </w:p>
    <w:p>
      <w:pPr>
        <w:pStyle w:val="Heading3"/>
        <w:keepNext/>
        <w:keepLines/>
      </w:pPr>
      <w:r>
        <w:t>Kit de Encuesta CAPEC-ESP · Documento B · Versión 1.0 · Abril 2026</w:t>
      </w:r>
    </w:p>
    <w:p>
      <w:r>
        <w:rPr>
          <w:i/>
        </w:rPr>
        <w:t>«Una encuesta sin metodología es un sondeo de opinión disfrazado de ciencia. La diferencia no es cosmética: es la diferencia entre publicar en una revista de alto impacto y publicar en el boletín interno de la comunidad de vecinos.»</w:t>
      </w:r>
    </w:p>
    <w:p>
      <w:pPr>
        <w:pStyle w:val="Heading2"/>
        <w:keepNext/>
        <w:keepLines/>
      </w:pPr>
      <w:r>
        <w:rPr>
          <w:color w:val="0066CC"/>
        </w:rPr>
        <w:t>1. FUNDAMENTO EPISTEMOLÓGICO</w:t>
      </w:r>
    </w:p>
    <w:p>
      <w:pPr>
        <w:pStyle w:val="Heading3"/>
        <w:keepNext/>
        <w:keepLines/>
      </w:pPr>
      <w:r>
        <w:t>1.1 Paradigma de investigación</w:t>
      </w:r>
    </w:p>
    <w:p>
      <w:r>
        <w:t xml:space="preserve">La encuesta se inscribe en el paradigma del </w:t>
      </w:r>
      <w:r>
        <w:rPr>
          <w:b/>
        </w:rPr>
        <w:t>positivismo crítico</w:t>
      </w:r>
      <w:r>
        <w:t>: asume que la adopción de marcos de seguridad en las organizaciones es objetivamente medible, pero reconoce que toda medición está condicionada por la perspectiva y el contexto del observador. Para mitigar el sesgo inherente, el instrumento combina:</w:t>
      </w:r>
    </w:p>
    <w:p>
      <w:pPr>
        <w:pStyle w:val="ListBullet"/>
        <w:keepLines w:val="1"/>
        <w:keepNext w:val="1"/>
        <w:widowControl w:val="1"/>
      </w:pPr>
      <w:r>
        <w:t>Preguntas de autoevaluación de madurez (percepción subjetiva del respondente)</w:t>
      </w:r>
    </w:p>
    <w:p>
      <w:pPr>
        <w:pStyle w:val="ListBullet"/>
        <w:keepLines w:val="1"/>
        <w:keepNext w:val="1"/>
        <w:widowControl w:val="1"/>
      </w:pPr>
      <w:r>
        <w:t>Preguntas de verificación conductual (¿qué hace la organización vs. qué valora?)</w:t>
      </w:r>
    </w:p>
    <w:p>
      <w:pPr>
        <w:pStyle w:val="ListBullet"/>
        <w:keepLines w:val="1"/>
        <w:widowControl w:val="1"/>
      </w:pPr>
      <w:r>
        <w:t>Controles de consistencia interna cruzados entre secciones</w:t>
      </w:r>
    </w:p>
    <w:p>
      <w:pPr>
        <w:pStyle w:val="Heading3"/>
        <w:keepNext/>
        <w:keepLines/>
      </w:pPr>
      <w:r>
        <w:t>1.2 Marco GQM (Goal–Question–Metric)</w:t>
      </w:r>
    </w:p>
    <w:p>
      <w:r>
        <w:t xml:space="preserve">El instrumento aplica la metodología </w:t>
      </w:r>
      <w:r>
        <w:rPr>
          <w:b/>
        </w:rPr>
        <w:t>GQM</w:t>
      </w:r>
      <w:r>
        <w:t xml:space="preserve"> de Basili, Caldiera &amp; Rombach (1994), adaptada a la medición de madurez de ciberseguridad:</w:t>
      </w:r>
    </w:p>
    <w:p>
      <w:r>
        <w:rPr>
          <w:b/>
        </w:rPr>
        <w:t>Goal (Objetivo de medición):</w:t>
      </w:r>
    </w:p>
    <w:p>
      <w:r>
        <w:t xml:space="preserve">Analizar el estado de adopción del marco CAPEC en organizaciones españolas </w:t>
      </w:r>
      <w:r>
        <w:rPr>
          <w:b/>
        </w:rPr>
        <w:t>con el propósito de</w:t>
      </w:r>
      <w:r>
        <w:t xml:space="preserve"> establecer un Índice de Madurez de referencia nacional </w:t>
      </w:r>
      <w:r>
        <w:rPr>
          <w:b/>
        </w:rPr>
        <w:t>desde la perspectiva de</w:t>
      </w:r>
      <w:r>
        <w:t xml:space="preserve"> los responsables de ciberseguridad </w:t>
      </w:r>
      <w:r>
        <w:rPr>
          <w:b/>
        </w:rPr>
        <w:t>en el contexto de</w:t>
      </w:r>
      <w:r>
        <w:t xml:space="preserve"> el ecosistema regulatorio NIS2/ENS/DORA y las amenazas emergentes de 2025.</w:t>
      </w:r>
    </w:p>
    <w:p>
      <w:r>
        <w:rPr>
          <w:b/>
        </w:rPr>
        <w:t>Questions (Preguntas de investigación):</w:t>
      </w:r>
      <w:r/>
      <w:r>
        <w:br/>
        <w:t>- Q1: ¿Cuál es el nivel de conocimiento y adopción de CAPEC por sector, tamaño y marco regulatorio?</w:t>
      </w:r>
      <w:r/>
      <w:r>
        <w:br/>
        <w:t>- Q2: ¿Qué indicadores y métricas CAPEC están implementados y cuál es su cobertura por dominio?</w:t>
      </w:r>
      <w:r/>
      <w:r>
        <w:br/>
        <w:t>- Q3: ¿Existe correlación entre el nivel de madurez CAPEC y el cumplimiento con NIS2/ENS?</w:t>
      </w:r>
      <w:r/>
      <w:r>
        <w:br/>
        <w:t>- Q4: ¿Cuál es la preparación organizacional ante amenazas emergentes (IA adversarial, supply chain, quantum)?</w:t>
      </w:r>
      <w:r/>
      <w:r>
        <w:br/>
        <w:t>- Q5: ¿Qué obstáculos y palancas determinan la adopción de CAPEC?</w:t>
      </w:r>
    </w:p>
    <w:p>
      <w:r>
        <w:rPr>
          <w:b/>
        </w:rPr>
        <w:t>Metrics (Métricas derivadas):</w:t>
      </w:r>
      <w:r/>
      <w:r>
        <w:br/>
        <w:t xml:space="preserve">- M1: </w:t>
      </w:r>
      <w:r>
        <w:rPr>
          <w:b/>
        </w:rPr>
        <w:t>IGM-CAPEC</w:t>
      </w:r>
      <w:r>
        <w:t xml:space="preserve"> — Índice Global de Madurez CAPEC (métrica compuesta principal)</w:t>
      </w:r>
      <w:r/>
      <w:r>
        <w:br/>
        <w:t xml:space="preserve">- M2: </w:t>
      </w:r>
      <w:r>
        <w:rPr>
          <w:b/>
        </w:rPr>
        <w:t>IGC</w:t>
      </w:r>
      <w:r>
        <w:t xml:space="preserve"> — Índice de Gestión del Conocimiento</w:t>
      </w:r>
      <w:r/>
      <w:r>
        <w:br/>
        <w:t xml:space="preserve">- M3: </w:t>
      </w:r>
      <w:r>
        <w:rPr>
          <w:b/>
        </w:rPr>
        <w:t>ICM</w:t>
      </w:r>
      <w:r>
        <w:t xml:space="preserve"> — Índice de Cobertura de Métricas</w:t>
      </w:r>
      <w:r/>
      <w:r>
        <w:br/>
        <w:t xml:space="preserve">- M4: </w:t>
      </w:r>
      <w:r>
        <w:rPr>
          <w:b/>
        </w:rPr>
        <w:t>IAR</w:t>
      </w:r>
      <w:r>
        <w:t xml:space="preserve"> — Índice de Alineación Regulatoria</w:t>
      </w:r>
      <w:r/>
      <w:r>
        <w:br/>
        <w:t xml:space="preserve">- M5: </w:t>
      </w:r>
      <w:r>
        <w:rPr>
          <w:b/>
        </w:rPr>
        <w:t>IRD</w:t>
      </w:r>
      <w:r>
        <w:t xml:space="preserve"> — Índice de Resiliencia Digital</w:t>
      </w:r>
      <w:r/>
      <w:r>
        <w:br/>
        <w:t xml:space="preserve">- M6: </w:t>
      </w:r>
      <w:r>
        <w:rPr>
          <w:b/>
        </w:rPr>
        <w:t>IBE</w:t>
      </w:r>
      <w:r>
        <w:t xml:space="preserve"> — Índice de Brecha Emergente</w:t>
      </w:r>
    </w:p>
    <w:p>
      <w:pPr>
        <w:pStyle w:val="Heading2"/>
        <w:keepNext/>
        <w:keepLines/>
      </w:pPr>
      <w:r>
        <w:rPr>
          <w:color w:val="0066CC"/>
        </w:rPr>
        <w:t>2. DISEÑO DEL INSTRUMENTO</w:t>
      </w:r>
    </w:p>
    <w:p>
      <w:pPr>
        <w:pStyle w:val="Heading3"/>
        <w:keepNext/>
        <w:keepLines/>
      </w:pPr>
      <w:r>
        <w:t>2.1 Tipo de instrumento</w:t>
      </w:r>
    </w:p>
    <w:p>
      <w:r>
        <w:rPr>
          <w:b/>
        </w:rPr>
        <w:t>Cuestionario estructurado auto-administrado de tipo mixto: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de ítem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Proporción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Opción única (Likert ordinal de 5 puntos)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Madurez, frecuencia, nivel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Opción múltiple (check list)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Prácticas, herramientas, marcos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Tabla de autoevaluación matricial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Evaluación por dominio o patrón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Pregunta abierta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10%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Perspectivas cualitativas</w:t>
            </w:r>
          </w:p>
        </w:tc>
      </w:tr>
    </w:tbl>
    <w:p/>
    <w:p>
      <w:r>
        <w:rPr>
          <w:b/>
        </w:rPr>
        <w:t>Total de ítems:</w:t>
      </w:r>
      <w:r>
        <w:t xml:space="preserve"> 50 preguntas en 11 secciones (incluyendo Sección 0 de identificación)</w:t>
      </w:r>
    </w:p>
    <w:p>
      <w:pPr>
        <w:pStyle w:val="Heading3"/>
        <w:keepNext/>
        <w:keepLines/>
      </w:pPr>
      <w:r>
        <w:t>2.2 Estructura y contenido por sección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Índice que alimenta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Identificación organizativa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P0.1–P0.5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Variables de clasificación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Conocimiento y adopción CAPEC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P1.1–P1.7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IGC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Modelado de amenazas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P2.1–P2.4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IGC + ICM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Indicadores y métricas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P3.1–P3.6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ICM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Amenazas emergentes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P4.1–P4.7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IBE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Cumplimiento regulatorio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P5.1–P5.4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Resiliencia digital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P6.1–P6.4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IRD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de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P7.1–P7.3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IGC + ICM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Personas y cultura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P8.1–P8.3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IGC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Zero Trust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P9.1–P9.2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IBE + IRD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Perspectiva estratégica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P10.1–P10.5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Cualitativo + estratégico</w:t>
            </w:r>
          </w:p>
        </w:tc>
      </w:tr>
    </w:tbl>
    <w:p/>
    <w:p>
      <w:pPr>
        <w:pStyle w:val="Heading3"/>
        <w:keepNext/>
        <w:keepLines/>
      </w:pPr>
      <w:r>
        <w:t>2.3 Escala de codificación de respuestas</w:t>
      </w:r>
    </w:p>
    <w:p>
      <w:r>
        <w:t>Las respuestas se codifican de 1 a 5 según la siguiente escala de madurez: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Etiqueta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 operacional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Inexistente / No implementado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Control o práctica completamente ausente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Inicial / En desarrollo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Reconocido; en proceso de planificación o inicio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Definido / Parcialmente implementado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Existe como proceso, pero con lagunas o sin medición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Gestionado / Ampliamente implementado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Proceso pleno con medición regular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Optimizado / En mejora continua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Integrado, medido, revisado y mejorado periódicamente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VALIDEZ Y FIABILIDAD</w:t>
      </w:r>
    </w:p>
    <w:p>
      <w:pPr>
        <w:pStyle w:val="Heading3"/>
        <w:keepNext/>
        <w:keepLines/>
      </w:pPr>
      <w:r>
        <w:t>3.1 Validez de contenido (CVI de Lawshe)</w:t>
      </w:r>
    </w:p>
    <w:p>
      <w:r>
        <w:t xml:space="preserve">El instrumento fue sometido a revisión por un panel de </w:t>
      </w:r>
      <w:r>
        <w:rPr>
          <w:b/>
        </w:rPr>
        <w:t>12 expertos</w:t>
      </w:r>
      <w:r>
        <w:t>:</w:t>
      </w:r>
      <w:r/>
      <w:r>
        <w:br/>
        <w:t>- 3 CISOs con más de 10 años de experiencia</w:t>
      </w:r>
      <w:r/>
      <w:r>
        <w:br/>
        <w:t>- 2 investigadores académicos en ciberseguridad</w:t>
      </w:r>
      <w:r/>
      <w:r>
        <w:br/>
        <w:t>- 2 especialistas en frameworks de amenazas (CAPEC, ATT&amp;CK)</w:t>
      </w:r>
      <w:r/>
      <w:r>
        <w:br/>
        <w:t>- 2 expertos en marcos normativos (ENS, NIS2, DORA)</w:t>
      </w:r>
      <w:r/>
      <w:r>
        <w:br/>
        <w:t>- 1 metodólogo en ciencias sociales aplicadas</w:t>
      </w:r>
      <w:r/>
      <w:r>
        <w:br/>
        <w:t>- 2 profesionales de GRC</w:t>
      </w:r>
    </w:p>
    <w:p>
      <w:r>
        <w:rPr>
          <w:b/>
        </w:rPr>
        <w:t>Cálculo del Content Validity Ratio (CVR) de Lawshe (1975):</w:t>
      </w:r>
    </w:p>
    <w:p>
      <w:r>
        <w:t>Para n = 12 expertos, el umbral de aceptación es CVR &gt; 0,56 (p &lt; 0,05).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CVR = (n_e − N/2) / (N/2)</w:t>
        <w:br/>
      </w:r>
    </w:p>
    <w:p>
      <w:r>
        <w:t xml:space="preserve">Donde </w:t>
      </w:r>
      <w:r>
        <w:rPr>
          <w:rFonts w:ascii="Courier New" w:hAnsi="Courier New"/>
          <w:sz w:val="18"/>
        </w:rPr>
        <w:t>n_e</w:t>
      </w:r>
      <w:r>
        <w:t xml:space="preserve"> = nº de expertos que valoraron el ítem como "Esencial" y </w:t>
      </w:r>
      <w:r>
        <w:rPr>
          <w:rFonts w:ascii="Courier New" w:hAnsi="Courier New"/>
          <w:sz w:val="18"/>
        </w:rPr>
        <w:t>N</w:t>
      </w:r>
      <w:r>
        <w:t xml:space="preserve"> = total de expertos.</w:t>
      </w:r>
    </w:p>
    <w:p>
      <w:r>
        <w:t xml:space="preserve">El </w:t>
      </w:r>
      <w:r>
        <w:rPr>
          <w:b/>
        </w:rPr>
        <w:t>Content Validity Index (CVI)</w:t>
      </w:r>
      <w:r>
        <w:t xml:space="preserve"> global del instrumento: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CVI = Media aritmética(CVR_i) para todos los ítems</w:t>
        <w:br/>
      </w:r>
    </w:p>
    <w:p>
      <w:r>
        <w:rPr>
          <w:b/>
        </w:rPr>
        <w:t>Criterio de aceptación:</w:t>
      </w:r>
      <w:r>
        <w:t xml:space="preserve"> Todos los ítems deben superar CVR &gt; 0,56. Los ítems que no lo superen serán reformulados o eliminados.</w:t>
      </w:r>
    </w:p>
    <w:p>
      <w:pPr>
        <w:pStyle w:val="Heading3"/>
        <w:keepNext/>
        <w:keepLines/>
      </w:pPr>
      <w:r>
        <w:t>3.2 Validez de constructo (AFC — Análisis Factorial Confirmatorio)</w:t>
      </w:r>
    </w:p>
    <w:p>
      <w:r>
        <w:t xml:space="preserve">Con los datos del estudio piloto (n ≥ 50), se verificará la estructura de </w:t>
      </w:r>
      <w:r>
        <w:rPr>
          <w:b/>
        </w:rPr>
        <w:t>5 factores latentes</w:t>
      </w:r>
      <w:r>
        <w:t>:</w:t>
      </w:r>
      <w:r/>
      <w:r>
        <w:br/>
        <w:t xml:space="preserve">- </w:t>
      </w:r>
      <w:r>
        <w:rPr>
          <w:b/>
        </w:rPr>
        <w:t>F1: IGC</w:t>
      </w:r>
      <w:r>
        <w:t xml:space="preserve"> — ítems P1.1, P1.3, P1.4, P1.5</w:t>
      </w:r>
      <w:r/>
      <w:r>
        <w:br/>
        <w:t xml:space="preserve">- </w:t>
      </w:r>
      <w:r>
        <w:rPr>
          <w:b/>
        </w:rPr>
        <w:t>F2: ICM</w:t>
      </w:r>
      <w:r>
        <w:t xml:space="preserve"> — ítems P3.1, P3.3, P3.4, P3.5</w:t>
      </w:r>
      <w:r/>
      <w:r>
        <w:br/>
        <w:t xml:space="preserve">- </w:t>
      </w:r>
      <w:r>
        <w:rPr>
          <w:b/>
        </w:rPr>
        <w:t>F3: IAR</w:t>
      </w:r>
      <w:r>
        <w:t xml:space="preserve"> — ítems P0.4, P5.1, P5.2, P5.3, P5.4</w:t>
      </w:r>
      <w:r/>
      <w:r>
        <w:br/>
        <w:t xml:space="preserve">- </w:t>
      </w:r>
      <w:r>
        <w:rPr>
          <w:b/>
        </w:rPr>
        <w:t>F4: IRD</w:t>
      </w:r>
      <w:r>
        <w:t xml:space="preserve"> — ítems P6.1, P6.2, P6.3, P6.4</w:t>
      </w:r>
      <w:r/>
      <w:r>
        <w:br/>
        <w:t xml:space="preserve">- </w:t>
      </w:r>
      <w:r>
        <w:rPr>
          <w:b/>
        </w:rPr>
        <w:t>F5: IBE</w:t>
      </w:r>
      <w:r>
        <w:t xml:space="preserve"> — ítems P4.2, P4.4, P4.6, P4.7, P9.2</w:t>
      </w:r>
    </w:p>
    <w:p>
      <w:r>
        <w:rPr>
          <w:b/>
        </w:rPr>
        <w:t>Métricas de ajuste AFC (umbrales de aceptación):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Umbral de aceptación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CFI (Comparative Fit Index)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&gt; 0,95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RMSEA (Root Mean Square Error of Approximation)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&lt; 0,08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SRMR (Standardized Root Mean Residual)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&lt; 0,10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TLI (Tucker-Lewis Index)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&gt; 0,90</w:t>
            </w:r>
          </w:p>
        </w:tc>
      </w:tr>
    </w:tbl>
    <w:p/>
    <w:p>
      <w:pPr>
        <w:pStyle w:val="Heading3"/>
        <w:keepNext/>
        <w:keepLines/>
      </w:pPr>
      <w:r>
        <w:t>3.3 Fiabilidad (Consistencia interna)</w:t>
      </w:r>
    </w:p>
    <w:p>
      <w:r>
        <w:t xml:space="preserve">Se calculará el </w:t>
      </w:r>
      <w:r>
        <w:rPr>
          <w:b/>
        </w:rPr>
        <w:t>Alpha de Cronbach (α)</w:t>
      </w:r>
      <w:r>
        <w:t xml:space="preserve"> por sub-escala (objetivo α ≥ 0,70):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Sub-índice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Ítems principales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Umbral α mínimo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IGC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P1.1, P1.3, P1.4, P1.5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≥ 0,70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ICM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P3.1, P3.3, P3.4, P3.5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≥ 0,70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IAR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P5.1, P5.2, P5.3, P5.4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≥ 0,70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IRD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P6.1, P6.2, P6.3, P6.4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≥ 0,70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IBE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P4.2, P4.4, P4.6, P4.7, P9.2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≥ 0,70</w:t>
            </w:r>
          </w:p>
        </w:tc>
      </w:tr>
    </w:tbl>
    <w:p/>
    <w:p>
      <w:r>
        <w:t xml:space="preserve">Se calculará adicionalmente el </w:t>
      </w:r>
      <w:r>
        <w:rPr>
          <w:b/>
        </w:rPr>
        <w:t>Omega de McDonald (ω)</w:t>
      </w:r>
      <w:r>
        <w:t xml:space="preserve"> como estimador más robusto para ítems no tau-equivalentes.</w:t>
      </w:r>
    </w:p>
    <w:p>
      <w:pPr>
        <w:pStyle w:val="Heading3"/>
        <w:keepNext/>
        <w:keepLines/>
      </w:pPr>
      <w:r>
        <w:t>3.4 Validez de criterio (Concurrente)</w:t>
      </w:r>
    </w:p>
    <w:p>
      <w:r>
        <w:t>Para una submuestra con auditorías ISO 27001 o CMMC disponibles, se comparará el IGM-CAPEC calculado con las puntuaciones de madurez de dichas auditorías, esperando correlaciones positivas significativas (r &gt; 0,50, p &lt; 0,05).</w:t>
      </w:r>
    </w:p>
    <w:p>
      <w:pPr>
        <w:pStyle w:val="Heading2"/>
        <w:keepNext/>
        <w:keepLines/>
      </w:pPr>
      <w:r>
        <w:rPr>
          <w:color w:val="0066CC"/>
        </w:rPr>
        <w:t>4. DISEÑO MUESTRAL</w:t>
      </w:r>
    </w:p>
    <w:p>
      <w:pPr>
        <w:pStyle w:val="Heading3"/>
        <w:keepNext/>
        <w:keepLines/>
      </w:pPr>
      <w:r>
        <w:t>4.1 Población objetivo</w:t>
      </w:r>
    </w:p>
    <w:p>
      <w:r>
        <w:rPr>
          <w:b/>
        </w:rPr>
        <w:t>Definición:</w:t>
      </w:r>
      <w:r>
        <w:t xml:space="preserve"> Responsables de ciberseguridad (CISO, CTO, CRO o equivalente) de organizaciones españolas con más de 50 empleados o bajo el ámbito de aplicación de NIS2 y/o ENS.</w:t>
      </w:r>
    </w:p>
    <w:p>
      <w:r>
        <w:rPr>
          <w:b/>
        </w:rPr>
        <w:t>Estimación del universo:</w:t>
      </w:r>
      <w:r>
        <w:t xml:space="preserve"> ~12.000 organizaciones en España bajo el ámbito de NIS2/ENS (INCIBE/CCN, 2025).</w:t>
      </w:r>
    </w:p>
    <w:p>
      <w:pPr>
        <w:pStyle w:val="Heading3"/>
        <w:keepNext/>
        <w:keepLines/>
      </w:pPr>
      <w:r>
        <w:t>4.2 Tamaño muestral</w:t>
      </w:r>
    </w:p>
    <w:p>
      <w:r>
        <w:t>Para un nivel de confianza del 95% (z = 1,96), margen de error del 5% y varianza máxima (p = q = 0,5):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 = (z² × p × q) / e² = (1,96² × 0,5 × 0,5) / 0,05² ≈ 384 → 400 cuestionarios válidos</w:t>
        <w:br/>
      </w:r>
    </w:p>
    <w:p>
      <w:r>
        <w:rPr>
          <w:b/>
        </w:rPr>
        <w:t>Sobremuestra estimada</w:t>
      </w:r>
      <w:r>
        <w:t xml:space="preserve"> (tasa de respuesta esperada: 15–25%): </w:t>
      </w:r>
      <w:r>
        <w:rPr>
          <w:b/>
        </w:rPr>
        <w:t>1.600–2.700 envíos necesarios.</w:t>
      </w:r>
    </w:p>
    <w:p>
      <w:pPr>
        <w:pStyle w:val="Heading3"/>
        <w:keepNext/>
        <w:keepLines/>
      </w:pPr>
      <w:r>
        <w:t>4.3 Técnica de muestreo</w:t>
      </w:r>
    </w:p>
    <w:p>
      <w:r>
        <w:rPr>
          <w:b/>
        </w:rPr>
        <w:t>Muestreo estratificado proporcional</w:t>
      </w:r>
      <w:r>
        <w:t xml:space="preserve"> por:</w:t>
      </w:r>
      <w:r/>
      <w:r>
        <w:br/>
        <w:t>1. Sector de actividad (13 categorías ponderadas por peso en NIS2 Anexos I y II)</w:t>
      </w:r>
      <w:r/>
      <w:r>
        <w:br/>
        <w:t>2. Tamaño de organización (5 categorías)</w:t>
      </w:r>
      <w:r/>
      <w:r>
        <w:br/>
        <w:t>3. Localización geográfica (representación mínima de las 6 CC.AA. más pobladas)</w:t>
      </w:r>
    </w:p>
    <w:p>
      <w:r>
        <w:rPr>
          <w:b/>
        </w:rPr>
        <w:t>Distribución objetivo por sector (n = 400):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% estimado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 objetivo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Administración Pública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25%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Banca / Financiero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12%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Energía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Salud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Telecomunicaciones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Transporte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Tecnología / Software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Fabricación / OT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Otros sectores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9%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36</w:t>
            </w:r>
          </w:p>
        </w:tc>
      </w:tr>
    </w:tbl>
    <w:p/>
    <w:p>
      <w:pPr>
        <w:pStyle w:val="Heading3"/>
        <w:keepNext/>
        <w:keepLines/>
      </w:pPr>
      <w:r>
        <w:t>4.4 Criterios de inclusión y exclusión</w:t>
      </w:r>
    </w:p>
    <w:p>
      <w:r>
        <w:rPr>
          <w:b/>
        </w:rPr>
        <w:t>Inclusión:</w:t>
      </w:r>
      <w:r/>
      <w:r>
        <w:br/>
        <w:t>- Organización con sede o filial principal en España</w:t>
      </w:r>
      <w:r/>
      <w:r>
        <w:br/>
        <w:t>- Más de 50 empleados o sujeta a NIS2/ENS independientemente del tamaño</w:t>
      </w:r>
      <w:r/>
      <w:r>
        <w:br/>
        <w:t>- Respondente con responsabilidad directa o delegada en ciberseguridad</w:t>
      </w:r>
      <w:r/>
      <w:r>
        <w:br/>
        <w:t>- Cuestionario cumplimentado al menos al 80%</w:t>
      </w:r>
    </w:p>
    <w:p>
      <w:r>
        <w:rPr>
          <w:b/>
        </w:rPr>
        <w:t>Exclusión:</w:t>
      </w:r>
      <w:r/>
      <w:r>
        <w:br/>
        <w:t>- Patrón de respuesta sospechoso (todas las Likert con el mismo valor en todas las secciones)</w:t>
      </w:r>
      <w:r/>
      <w:r>
        <w:br/>
        <w:t>- Respondente sin conocimiento del dominio (P1.1 = 1 con contradicciones internas manifiestas)</w:t>
      </w:r>
      <w:r/>
      <w:r>
        <w:br/>
        <w:t>- Tiempo de respuesta &lt; 8 minutos (cuestionario completado de forma mecánica)</w:t>
      </w:r>
    </w:p>
    <w:p>
      <w:pPr>
        <w:pStyle w:val="Heading2"/>
        <w:keepNext/>
        <w:keepLines/>
      </w:pPr>
      <w:r>
        <w:rPr>
          <w:color w:val="0066CC"/>
        </w:rPr>
        <w:t>5. DISTRIBUCIÓN Y RECOGIDA DE DATOS</w:t>
      </w:r>
    </w:p>
    <w:p>
      <w:pPr>
        <w:pStyle w:val="Heading3"/>
        <w:keepNext/>
        <w:keepLines/>
      </w:pPr>
      <w:r>
        <w:t>5.1 Plataforma recomendada</w:t>
      </w:r>
    </w:p>
    <w:p>
      <w:r>
        <w:rPr>
          <w:b/>
        </w:rPr>
        <w:t>Primera opción:</w:t>
      </w:r>
      <w:r>
        <w:t xml:space="preserve"> LimeSurvey (autoalojado en servidor institucional) — garantiza soberanía de datos y cumplimiento RGPD sin dependencia de terceros.</w:t>
      </w:r>
    </w:p>
    <w:p>
      <w:r>
        <w:rPr>
          <w:b/>
        </w:rPr>
        <w:t>Segunda opción:</w:t>
      </w:r>
      <w:r>
        <w:t xml:space="preserve"> Qualtrics con DPA formalizado.</w:t>
      </w:r>
    </w:p>
    <w:p>
      <w:r>
        <w:rPr>
          <w:b/>
        </w:rPr>
        <w:t>Tercera opción:</w:t>
      </w:r>
      <w:r>
        <w:t xml:space="preserve"> Google Forms con cuenta Google Workspace institucional y DPA con Google Ireland Ltd.</w:t>
      </w:r>
    </w:p>
    <w:p>
      <w:r>
        <w:t>Características mínimas del formulario:</w:t>
      </w:r>
      <w:r/>
      <w:r>
        <w:br/>
        <w:t>- Barra de progreso visible</w:t>
      </w:r>
      <w:r/>
      <w:r>
        <w:br/>
        <w:t>- Opción de guardar y retomar más tarde</w:t>
      </w:r>
      <w:r/>
      <w:r>
        <w:br/>
        <w:t>- Diseño responsivo (móvil y tableta)</w:t>
      </w:r>
      <w:r/>
      <w:r>
        <w:br/>
        <w:t>- Tiempo estimado de respuesta mostrado al inicio</w:t>
      </w:r>
      <w:r/>
      <w:r>
        <w:br/>
        <w:t>- Confirmación de recepción automática</w:t>
      </w:r>
    </w:p>
    <w:p>
      <w:pPr>
        <w:pStyle w:val="Heading3"/>
        <w:keepNext/>
        <w:keepLines/>
      </w:pPr>
      <w:r>
        <w:t>5.2 Canales de distribución (por orden de prioridad)</w:t>
      </w:r>
    </w:p>
    <w:p>
      <w:pPr>
        <w:pStyle w:val="ListNumber"/>
        <w:keepLines w:val="1"/>
        <w:keepNext w:val="1"/>
        <w:widowControl w:val="1"/>
      </w:pPr>
      <w:r>
        <w:t>INCIBE — Red Nacional de CSIRT y boletines a empresas (mayor alcance empresarial)</w:t>
      </w:r>
    </w:p>
    <w:p>
      <w:pPr>
        <w:pStyle w:val="ListNumber"/>
        <w:keepLines w:val="1"/>
        <w:keepNext w:val="1"/>
        <w:widowControl w:val="1"/>
      </w:pPr>
      <w:r>
        <w:t>CCN-CNI — Canales a organismos del Sector Público y entidades ENS</w:t>
      </w:r>
    </w:p>
    <w:p>
      <w:pPr>
        <w:pStyle w:val="ListNumber"/>
        <w:keepLines w:val="1"/>
        <w:keepNext w:val="1"/>
        <w:widowControl w:val="1"/>
      </w:pPr>
      <w:r>
        <w:t>ISMS Forum Spain — Red de CISOs y profesionales de seguridad</w:t>
      </w:r>
    </w:p>
    <w:p>
      <w:pPr>
        <w:pStyle w:val="ListNumber"/>
        <w:keepLines w:val="1"/>
        <w:keepNext w:val="1"/>
        <w:widowControl w:val="1"/>
      </w:pPr>
      <w:r>
        <w:t>Asociaciones sectoriales — AMETIC, CECA, SEDIA, ISACA, (ISC)², ISMS Forum</w:t>
      </w:r>
    </w:p>
    <w:p>
      <w:pPr>
        <w:pStyle w:val="ListNumber"/>
        <w:keepLines w:val="1"/>
        <w:keepNext w:val="1"/>
        <w:widowControl w:val="1"/>
      </w:pPr>
      <w:r>
        <w:t>LinkedIn — Campaña segmentada a perfiles CISO, CTO, CRO en España</w:t>
      </w:r>
    </w:p>
    <w:p>
      <w:pPr>
        <w:pStyle w:val="ListNumber"/>
        <w:keepLines w:val="1"/>
        <w:keepNext w:val="1"/>
        <w:widowControl w:val="1"/>
      </w:pPr>
      <w:r>
        <w:t>Redes académicas — Grupos de investigación universitarios en ciberseguridad</w:t>
      </w:r>
    </w:p>
    <w:p>
      <w:pPr>
        <w:pStyle w:val="ListNumber"/>
        <w:keepLines w:val="1"/>
        <w:widowControl w:val="1"/>
      </w:pPr>
      <w:r>
        <w:t>Red del consorcio investigador — Contactos directos de los investigadores</w:t>
      </w:r>
    </w:p>
    <w:p>
      <w:pPr>
        <w:pStyle w:val="Heading3"/>
        <w:keepNext/>
        <w:keepLines/>
      </w:pPr>
      <w:r>
        <w:t>5.3 Protocolo de seguimiento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Momento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T+0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Envío inicial con carta de presentación institucional firmada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T+7 días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Primer recordatorio (si no hay respuesta)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T+14 días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Segundo recordatorio con énfasis en contribución al bien público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T+21 días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Cierre del período de recogida de datos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6. PLAN DE ANÁLISIS ESTADÍSTICO</w:t>
      </w:r>
    </w:p>
    <w:p>
      <w:pPr>
        <w:pStyle w:val="Heading3"/>
        <w:keepNext/>
        <w:keepLines/>
      </w:pPr>
      <w:r>
        <w:t>6.1 Análisis descriptivo</w:t>
      </w:r>
    </w:p>
    <w:p>
      <w:pPr>
        <w:pStyle w:val="ListBullet"/>
        <w:keepLines w:val="1"/>
        <w:keepNext w:val="1"/>
        <w:widowControl w:val="1"/>
      </w:pPr>
      <w:r>
        <w:t>Variables categóricas: Tablas de frecuencia absolutas y relativas; gráficos de barras</w:t>
      </w:r>
    </w:p>
    <w:p>
      <w:pPr>
        <w:pStyle w:val="ListBullet"/>
        <w:keepLines w:val="1"/>
        <w:keepNext w:val="1"/>
        <w:widowControl w:val="1"/>
      </w:pPr>
      <w:r>
        <w:t>Variables ordinales (Likert): Mediana, moda, frecuencias acumuladas; gráfico de Likert divergente</w:t>
      </w:r>
    </w:p>
    <w:p>
      <w:pPr>
        <w:pStyle w:val="ListBullet"/>
        <w:keepLines w:val="1"/>
        <w:widowControl w:val="1"/>
      </w:pPr>
      <w:r>
        <w:t>Variables cuantitativas derivadas (sub-índices): Media aritmética, desviación típica, mediana, percentiles 25/75, histograma de distribución</w:t>
      </w:r>
    </w:p>
    <w:p>
      <w:pPr>
        <w:pStyle w:val="Heading3"/>
        <w:keepNext/>
        <w:keepLines/>
      </w:pPr>
      <w:r>
        <w:t>6.2 Cálculo del IGM-CAPEC</w:t>
      </w:r>
    </w:p>
    <w:p>
      <w:r>
        <w:rPr>
          <w:b/>
        </w:rPr>
        <w:t>Fórmula del IGM-CAPEC global (índice ponderado):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IGM-CAPEC = 0,25 × IGC + 0,20 × ICM + 0,20 × IAR + 0,20 × IRD + 0,15 × IBE</w:t>
        <w:br/>
      </w:r>
    </w:p>
    <w:p>
      <w:r>
        <w:rPr>
          <w:b/>
        </w:rPr>
        <w:t>Pesos justificados:</w:t>
      </w:r>
      <w:r/>
      <w:r>
        <w:br/>
        <w:t>- IGC (0,25): El conocimiento es precondición para cualquier otra dimensión</w:t>
      </w:r>
      <w:r/>
      <w:r>
        <w:br/>
        <w:t>- ICM y IAR (0,20 cada uno): Operatividad e integración regulatoria son equiparables</w:t>
      </w:r>
      <w:r/>
      <w:r>
        <w:br/>
        <w:t>- IRD (0,20): La resiliencia tiene impacto directo en la continuidad del negocio</w:t>
      </w:r>
      <w:r/>
      <w:r>
        <w:br/>
        <w:t>- IBE (0,15): Las brechas emergentes son críticas pero aún en estadio de adopción inicial</w:t>
      </w:r>
    </w:p>
    <w:p>
      <w:r>
        <w:rPr>
          <w:b/>
        </w:rPr>
        <w:t>Escala de niveles de madurez: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Rango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operacional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0,00 – 0,20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1: Inicial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CAPEC ausente o desconocido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0,21 – 0,40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2: En Desarrollo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Conocimiento básico; implementación puntual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0,41 – 0,60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3: Definido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Uso sistemático en procesos clave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0,61 – 0,80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4: Gestionado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Integración amplia; métricas reportadas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0,81 – 1,00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5: Optimizado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CAPEC como pilar estratégico con mejora continua</w:t>
            </w:r>
          </w:p>
        </w:tc>
      </w:tr>
    </w:tbl>
    <w:p/>
    <w:p>
      <w:pPr>
        <w:pStyle w:val="Heading3"/>
        <w:keepNext/>
        <w:keepLines/>
      </w:pPr>
      <w:r>
        <w:t>6.3 Análisis inferencial</w:t>
      </w:r>
    </w:p>
    <w:p>
      <w:pPr>
        <w:pStyle w:val="ListBullet"/>
        <w:keepLines w:val="1"/>
        <w:keepNext w:val="1"/>
        <w:widowControl w:val="1"/>
      </w:pPr>
      <w:r>
        <w:t>Diferencias entre grupos: ANOVA de un factor (sectores) o Kruskal-Wallis si no se cumple normalidad (test de Shapiro-Wilk previo)</w:t>
      </w:r>
    </w:p>
    <w:p>
      <w:pPr>
        <w:pStyle w:val="ListBullet"/>
        <w:keepLines w:val="1"/>
        <w:keepNext w:val="1"/>
        <w:widowControl w:val="1"/>
      </w:pPr>
      <w:r>
        <w:t>Correlaciones: Rho de Spearman entre IGM-CAPEC y variables de clasificación</w:t>
      </w:r>
    </w:p>
    <w:p>
      <w:pPr>
        <w:pStyle w:val="ListBullet"/>
        <w:keepLines w:val="1"/>
        <w:keepNext w:val="1"/>
        <w:widowControl w:val="1"/>
      </w:pPr>
      <w:r>
        <w:t>Regresión múltiple: IGM-CAPEC como variable dependiente; sector, tamaño y marcos normativos como predictoras</w:t>
      </w:r>
    </w:p>
    <w:p>
      <w:pPr>
        <w:pStyle w:val="ListBullet"/>
        <w:keepLines w:val="1"/>
        <w:widowControl w:val="1"/>
      </w:pPr>
      <w:r>
        <w:t>Clustering: Análisis jerárquico (Ward, distancia euclidiana) para identificar perfiles típicos de adopción</w:t>
      </w:r>
    </w:p>
    <w:p>
      <w:pPr>
        <w:pStyle w:val="Heading3"/>
        <w:keepNext/>
        <w:keepLines/>
      </w:pPr>
      <w:r>
        <w:t>6.4 Análisis cualitativo (P10.4 y P10.5)</w:t>
      </w:r>
    </w:p>
    <w:p>
      <w:pPr>
        <w:pStyle w:val="ListBullet"/>
        <w:keepLines w:val="1"/>
        <w:keepNext w:val="1"/>
        <w:widowControl w:val="1"/>
      </w:pPr>
      <w:r>
        <w:t>Análisis de contenido temático según Braun &amp; Clarke (2006)</w:t>
      </w:r>
    </w:p>
    <w:p>
      <w:pPr>
        <w:pStyle w:val="ListBullet"/>
        <w:keepLines w:val="1"/>
        <w:keepNext w:val="1"/>
        <w:widowControl w:val="1"/>
      </w:pPr>
      <w:r>
        <w:t>Proceso: Codificación abierta → codificación axial → saturación temática</w:t>
      </w:r>
    </w:p>
    <w:p>
      <w:pPr>
        <w:pStyle w:val="ListBullet"/>
        <w:keepLines w:val="1"/>
        <w:keepNext w:val="1"/>
        <w:widowControl w:val="1"/>
      </w:pPr>
      <w:r>
        <w:t>Herramientas sugeridas: Atlas.ti, NVivo, o análisis manual con hojas de codificación estandarizadas</w:t>
      </w:r>
    </w:p>
    <w:p>
      <w:pPr>
        <w:pStyle w:val="ListBullet"/>
        <w:keepLines w:val="1"/>
        <w:widowControl w:val="1"/>
      </w:pPr>
      <w:r>
        <w:t>Criterio de saturación: No emergencia de nuevos códigos en las últimas 20 respuestas procesadas</w:t>
      </w:r>
    </w:p>
    <w:p>
      <w:pPr>
        <w:pStyle w:val="Heading2"/>
        <w:keepNext/>
        <w:keepLines/>
      </w:pPr>
      <w:r>
        <w:rPr>
          <w:color w:val="0066CC"/>
        </w:rPr>
        <w:t>7. CONSIDERACIONES ÉTICAS Y RGPD</w:t>
      </w:r>
    </w:p>
    <w:p>
      <w:pPr>
        <w:pStyle w:val="Heading3"/>
        <w:keepNext/>
        <w:keepLines/>
      </w:pPr>
      <w:r>
        <w:t>7.1 Base legal del tratamiento</w:t>
      </w:r>
    </w:p>
    <w:p>
      <w:pPr>
        <w:pStyle w:val="ListBullet"/>
        <w:keepLines w:val="1"/>
        <w:keepNext w:val="1"/>
        <w:widowControl w:val="1"/>
      </w:pPr>
      <w:r>
        <w:t>Base legal: Consentimiento explícito e informado (Art. 6.1.a RGPD)</w:t>
      </w:r>
    </w:p>
    <w:p>
      <w:pPr>
        <w:pStyle w:val="ListBullet"/>
        <w:keepLines w:val="1"/>
        <w:keepNext w:val="1"/>
        <w:widowControl w:val="1"/>
      </w:pPr>
      <w:r>
        <w:t>Finalidad: Investigación académica en ciberseguridad sin fines comerciales</w:t>
      </w:r>
    </w:p>
    <w:p>
      <w:pPr>
        <w:pStyle w:val="ListBullet"/>
        <w:keepLines w:val="1"/>
        <w:keepNext w:val="1"/>
        <w:widowControl w:val="1"/>
      </w:pPr>
      <w:r>
        <w:t>Datos tratados: Exclusivamente datos profesionales; sin datos personales identificativos directos</w:t>
      </w:r>
    </w:p>
    <w:p>
      <w:pPr>
        <w:pStyle w:val="ListBullet"/>
        <w:keepLines w:val="1"/>
        <w:widowControl w:val="1"/>
      </w:pPr>
      <w:r>
        <w:t>Conservación: 5 años desde la publicación de los resultados finales</w:t>
      </w:r>
    </w:p>
    <w:p>
      <w:pPr>
        <w:pStyle w:val="Heading3"/>
        <w:keepNext/>
        <w:keepLines/>
      </w:pPr>
      <w:r>
        <w:t>7.2 Medidas de anonimización</w:t>
      </w:r>
    </w:p>
    <w:p>
      <w:pPr>
        <w:pStyle w:val="ListBullet"/>
        <w:keepLines w:val="1"/>
        <w:keepNext w:val="1"/>
        <w:widowControl w:val="1"/>
      </w:pPr>
      <w:r>
        <w:t>Código alfanumérico aleatorio para cada cuestionario (sin vinculación a correo o nombre)</w:t>
      </w:r>
    </w:p>
    <w:p>
      <w:pPr>
        <w:pStyle w:val="ListBullet"/>
        <w:keepLines w:val="1"/>
        <w:keepNext w:val="1"/>
        <w:widowControl w:val="1"/>
      </w:pPr>
      <w:r>
        <w:t>Sin recogida de información identificativa personal</w:t>
      </w:r>
    </w:p>
    <w:p>
      <w:pPr>
        <w:pStyle w:val="ListBullet"/>
        <w:keepLines w:val="1"/>
        <w:keepNext w:val="1"/>
        <w:widowControl w:val="1"/>
      </w:pPr>
      <w:r>
        <w:t>Resultados solo agregados para grupos de n ≥ 10</w:t>
      </w:r>
    </w:p>
    <w:p>
      <w:pPr>
        <w:pStyle w:val="ListBullet"/>
        <w:keepLines w:val="1"/>
        <w:widowControl w:val="1"/>
      </w:pPr>
      <w:r>
        <w:t>Almacenamiento en servidor bajo jurisdicción española con cifrado en reposo</w:t>
      </w:r>
    </w:p>
    <w:p>
      <w:pPr>
        <w:pStyle w:val="Heading3"/>
        <w:keepNext/>
        <w:keepLines/>
      </w:pPr>
      <w:r>
        <w:t>7.3 DPIA (Data Protection Impact Assessment)</w:t>
      </w:r>
    </w:p>
    <w:p>
      <w:r>
        <w:t>Se realizará una DPIA conforme al Art. 35 RGPD si el tratamiento implica datos sobre vulnerabilidades de organizaciones de infraestructuras críticas.</w:t>
      </w:r>
    </w:p>
    <w:p>
      <w:pPr>
        <w:pStyle w:val="Heading2"/>
        <w:keepNext/>
        <w:keepLines/>
      </w:pPr>
      <w:r>
        <w:rPr>
          <w:color w:val="0066CC"/>
        </w:rPr>
        <w:t>8. CRONOGRAMA DE INVESTIGACIÓN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Duración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Período estimado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Diseño final del instrumento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 semanas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Feb 2026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Validación por panel de expertos (CVI)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 semanas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 2026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Estudio piloto (n = 50)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 semanas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Mar-Abr 2026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 piloto y ajuste del instrumento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 semana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Abr 2026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Distribución masiva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 semanas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Abr-May 2026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Período de recogida de datos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 semanas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May 2026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Limpieza y codificación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 semanas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Jun 2026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 estadístico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 semanas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Jun-Jul 2026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 cualitativo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 semanas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Jul 2026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Redacción del informe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 semanas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Jul-Ago 2026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11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Revisión y publicación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3 semanas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Sep 2026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9. REFERENCIAS METODOLÓGICAS</w:t>
      </w:r>
    </w:p>
    <w:p>
      <w:pPr>
        <w:pStyle w:val="ListBullet"/>
        <w:keepLines w:val="1"/>
        <w:keepNext w:val="1"/>
        <w:widowControl w:val="1"/>
      </w:pPr>
      <w:r>
        <w:t>Babbie, E. (2016). The Practice of Social Research (14.ª ed.). Cengage Learning.</w:t>
      </w:r>
    </w:p>
    <w:p>
      <w:pPr>
        <w:pStyle w:val="ListBullet"/>
        <w:keepLines w:val="1"/>
        <w:keepNext w:val="1"/>
        <w:widowControl w:val="1"/>
      </w:pPr>
      <w:r>
        <w:t>Basili, V. R., Caldiera, G., &amp; Rombach, H. D. (1994). The Goal Question Metric Approach. Encyclopedia of Software Engineering, 2, 528–532.</w:t>
      </w:r>
    </w:p>
    <w:p>
      <w:pPr>
        <w:pStyle w:val="ListBullet"/>
        <w:keepLines w:val="1"/>
        <w:keepNext w:val="1"/>
        <w:widowControl w:val="1"/>
      </w:pPr>
      <w:r>
        <w:t>Braun, V., &amp; Clarke, V. (2006). Using thematic analysis in psychology. Qualitative Research in Psychology, 3(2), 77–101.</w:t>
      </w:r>
    </w:p>
    <w:p>
      <w:pPr>
        <w:pStyle w:val="ListBullet"/>
        <w:keepLines w:val="1"/>
        <w:keepNext w:val="1"/>
        <w:widowControl w:val="1"/>
      </w:pPr>
      <w:r>
        <w:t>Cronbach, L. J. (1951). Coefficient alpha and the internal structure of tests. Psychometrika, 16(3), 297–334.</w:t>
      </w:r>
    </w:p>
    <w:p>
      <w:pPr>
        <w:pStyle w:val="ListBullet"/>
        <w:keepLines w:val="1"/>
        <w:keepNext w:val="1"/>
        <w:widowControl w:val="1"/>
      </w:pPr>
      <w:r>
        <w:t>Lawshe, C. H. (1975). A quantitative approach to content validity. Personnel Psychology, 28(4), 563–575.</w:t>
      </w:r>
    </w:p>
    <w:p>
      <w:pPr>
        <w:pStyle w:val="ListBullet"/>
        <w:keepLines w:val="1"/>
        <w:keepNext w:val="1"/>
        <w:widowControl w:val="1"/>
      </w:pPr>
      <w:r>
        <w:t>McDonald, R. P. (1999). Test Theory: A Unified Treatment. Lawrence Erlbaum Associates.</w:t>
      </w:r>
    </w:p>
    <w:p>
      <w:pPr>
        <w:pStyle w:val="ListBullet"/>
        <w:keepLines w:val="1"/>
        <w:keepNext w:val="1"/>
        <w:widowControl w:val="1"/>
      </w:pPr>
      <w:r>
        <w:t>MITRE Corporation. (2024). CAPEC v3.9. https://capec.mitre.org</w:t>
      </w:r>
    </w:p>
    <w:p>
      <w:pPr>
        <w:pStyle w:val="ListBullet"/>
        <w:keepLines w:val="1"/>
        <w:widowControl w:val="1"/>
      </w:pPr>
      <w:r>
        <w:t>NIST. (2024). Cybersecurity Framework 2.0. https://www.nist.gov/cyberframework</w:t>
      </w:r>
    </w:p>
    <w:p>
      <w:r>
        <w:rPr>
          <w:i/>
        </w:rPr>
        <w:t>Kit de Encuesta CAPEC-ESP · Documento B: Guía Metodológica · Versión 1.0 · Abril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