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PLANTILLA EXCEL: CÁLCULO IGM-CAPEC Y ROI DE CIBERSEGURIDAD</w:t>
      </w:r>
    </w:p>
    <w:p>
      <w:pPr>
        <w:pStyle w:val="Heading2"/>
        <w:keepNext/>
        <w:keepLines/>
      </w:pPr>
      <w:r>
        <w:rPr>
          <w:color w:val="0066CC"/>
        </w:rPr>
        <w:t>Guía de Implementación y Descripción de Hojas de Cálculo</w:t>
      </w:r>
    </w:p>
    <w:p>
      <w:pPr>
        <w:pStyle w:val="Heading3"/>
        <w:keepNext/>
        <w:keepLines/>
      </w:pPr>
      <w:r>
        <w:t>Kit de Encuesta CAPEC-ESP · Documento E · Versión 1.0 · Abril 2026</w:t>
      </w:r>
    </w:p>
    <w:p>
      <w:r>
        <w:rPr>
          <w:i/>
        </w:rPr>
        <w:t>«Los datos sin fórmulas son anécdotas. Las fórmulas sin datos son filosofía. La hoja de cálculo es el punto donde se reconcilian.»</w:t>
      </w:r>
    </w:p>
    <w:p>
      <w:pPr>
        <w:pStyle w:val="Heading2"/>
        <w:keepNext/>
        <w:keepLines/>
      </w:pPr>
      <w:r>
        <w:rPr>
          <w:color w:val="0066CC"/>
        </w:rPr>
        <w:t>DESCRIPCIÓN GENERAL DEL ARCHIVO</w:t>
      </w:r>
    </w:p>
    <w:p>
      <w:r>
        <w:rPr>
          <w:b/>
        </w:rPr>
        <w:t>Nombre del archivo:</w:t>
      </w:r>
      <w:r>
        <w:t xml:space="preserve"> </w:t>
      </w:r>
      <w:r>
        <w:rPr>
          <w:rFonts w:ascii="Courier New" w:hAnsi="Courier New"/>
          <w:sz w:val="18"/>
        </w:rPr>
        <w:t>CAPEC-ESP-IGM-ROI-Calculator-v1.0.xlsx</w:t>
      </w:r>
    </w:p>
    <w:p>
      <w:r>
        <w:t xml:space="preserve">El libro de cálculo contiene </w:t>
      </w:r>
      <w:r>
        <w:rPr>
          <w:b/>
        </w:rPr>
        <w:t>8 hojas de trabajo</w:t>
      </w:r>
      <w:r>
        <w:t xml:space="preserve"> organizadas en flujo secuencial: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INSTRUCCIONES → ENCUESTA_DATOS → IGM_CAPEC → ROSI_CALCULATOR </w:t>
        <w:br/>
        <w:t>→ BENCHMARK_SECTORIAL → DASHBOARD_EJECUTIVO → PLAN_ACCION → REFERENCIAS</w:t>
        <w:br/>
      </w:r>
    </w:p>
    <w:p>
      <w:pPr>
        <w:pStyle w:val="Heading2"/>
        <w:keepNext/>
        <w:keepLines/>
      </w:pPr>
      <w:r>
        <w:rPr>
          <w:color w:val="0066CC"/>
        </w:rPr>
        <w:t>HOJA 1: INSTRUCCIONES</w:t>
      </w:r>
    </w:p>
    <w:p>
      <w:r>
        <w:rPr>
          <w:b/>
        </w:rPr>
        <w:t>Propósito:</w:t>
      </w:r>
      <w:r>
        <w:t xml:space="preserve"> Guía de uso del libro completo.</w:t>
      </w:r>
    </w:p>
    <w:p>
      <w:r>
        <w:rPr>
          <w:b/>
        </w:rPr>
        <w:t>Contenido:</w:t>
      </w:r>
      <w:r/>
      <w:r>
        <w:br/>
        <w:t>- Diagrama de flujo de uso (cómo pasar datos de una hoja a otra)</w:t>
      </w:r>
      <w:r/>
      <w:r>
        <w:br/>
        <w:t>- Convenciones de color de celda:</w:t>
      </w:r>
      <w:r/>
      <w:r>
        <w:br/>
        <w:t xml:space="preserve">  - 🟡 Amarillo: celdas de entrada de datos manuales</w:t>
      </w:r>
      <w:r/>
      <w:r>
        <w:br/>
        <w:t xml:space="preserve">  - 🟢 Verde: celdas de cálculo automático (no modificar)</w:t>
      </w:r>
      <w:r/>
      <w:r>
        <w:br/>
        <w:t xml:space="preserve">  - 🔵 Azul: celdas de fórmulas de referencia cruzada</w:t>
      </w:r>
      <w:r/>
      <w:r>
        <w:br/>
        <w:t xml:space="preserve">  - 🔴 Rojo: alertas de umbrales críticos superados</w:t>
      </w:r>
      <w:r/>
      <w:r>
        <w:br/>
        <w:t>- Versión, fecha y créditos</w:t>
      </w:r>
    </w:p>
    <w:p>
      <w:pPr>
        <w:pStyle w:val="Heading2"/>
        <w:keepNext/>
        <w:keepLines/>
      </w:pPr>
      <w:r>
        <w:rPr>
          <w:color w:val="0066CC"/>
        </w:rPr>
        <w:t>HOJA 2: ENCUESTA_DATOS</w:t>
      </w:r>
    </w:p>
    <w:p>
      <w:r>
        <w:rPr>
          <w:b/>
        </w:rPr>
        <w:t>Propósito:</w:t>
      </w:r>
      <w:r>
        <w:t xml:space="preserve"> Entrada bruta de respuestas individuales por organización.</w:t>
      </w:r>
    </w:p>
    <w:p>
      <w:r>
        <w:rPr>
          <w:b/>
        </w:rPr>
        <w:t>Estructura de columnas: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ID_Encuesta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Código alfanumérico anónimo (ej: ESP-2026-001)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Fecha_Respuesta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DD/MM/AAAA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13 sectores predefinidos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Tamaño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 rangos de empleados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Marco_ENS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Booleano (0/1)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Sujeto a ENS (Sí=1, No=0)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Marco_NIS2_Esencial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Booleano (0/1)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Entidad esencial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Marco_NIS2_Importante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Booleano (0/1)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Entidad importante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Marco_DORA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Booleano (0/1)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Bajo DORA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Marco_ISO27001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Booleano (0/1)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Certificación ISO 27001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J–M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Presupuesto_TI_Pct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ciberseguridad / TI total (5 rangos)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P1_1_Familiaridad_Personal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Conocimiento CAPEC personal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P1_2_Familiaridad_Org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Conocimiento CAPEC organizacional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P1_4_Likelihood_Of_Attack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indicador CAPEC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P1_4_Typical_Severity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indicador CAPEC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P1_5_Estado_Impl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Estado de implementación CAPEC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P2_1_Modelado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del modelado de amenazas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P2_2_Integracion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CAPEC-modelado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U–AB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P3_5_Dom_SW a P3_5_Dom_OT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 cada 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IGM por 7 dominios CAPEC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P3_1_Metricas_CAPEC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Recuento (0–10)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de métricas CAPEC implementadas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P3_3_Reporte_Consejo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reporte al Consejo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P3_4_Indicadores_Riesgo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en gestión de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P4_2_IA_Controles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Promedio 1–5 (6 subtipos)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adversariales 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P4_4_SupplyChain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Recuento (0–9)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Prácticas supply chain implementadas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P4_6_PQC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Preparación post-quantum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P5_2_NIS2_Impacto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Impacto NIS2 en adopción CAPEC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AJ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P6_1_BCP_DRP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CAPEC en continuidad de negocio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P6_2_Tabletop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ejercicios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AL–AQ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P6_3_RTO a P6_3_Contencion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 cada 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 métricas de resiliencia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P9_1_ZeroTrust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Estado de Zero Trust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Coste_Incidentes_12m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Numérico (EUR)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total de incidentes último año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Budget_Ciberseguridad_EUR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Numérico (EUR)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Presupuesto anual de ciberseguridad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3: IGM_CAPEC</w:t>
      </w:r>
    </w:p>
    <w:p>
      <w:r>
        <w:rPr>
          <w:b/>
        </w:rPr>
        <w:t>Propósito:</w:t>
      </w:r>
      <w:r>
        <w:t xml:space="preserve"> Cálculo automático del Índice Global de Madurez CAPEC por organización y agregado.</w:t>
      </w:r>
    </w:p>
    <w:p>
      <w:pPr>
        <w:pStyle w:val="Heading3"/>
        <w:keepNext/>
        <w:keepLines/>
      </w:pPr>
      <w:r>
        <w:t>Sub-índices calculados</w:t>
      </w:r>
    </w:p>
    <w:p>
      <w:pPr>
        <w:pStyle w:val="Heading4"/>
        <w:keepNext/>
        <w:keepLines/>
      </w:pPr>
      <w:r>
        <w:t>IGC — Índice de Gestión del Conocimiento (peso: 25%)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</w:t>
        <w:br/>
        <w:t xml:space="preserve">  N2,         [P1_1_Familiaridad_Personal — escala directa]</w:t>
        <w:br/>
        <w:t xml:space="preserve">  O2,         [P1_2_Familiaridad_Org — escala directa]</w:t>
        <w:br/>
        <w:t xml:space="preserve">  SI(R2&gt;=4,5, SI(R2&gt;=3,3, SI(R2&gt;=2,2,1))),  [P1_5_Estado_Impl codificado]</w:t>
        <w:br/>
        <w:t xml:space="preserve">  S2,         [P2_1_Modelado]</w:t>
        <w:br/>
        <w:t xml:space="preserve">  T2          [P2_2_Integracion]</w:t>
        <w:br/>
        <w:t>) / 5</w:t>
        <w:br/>
      </w:r>
    </w:p>
    <w:p>
      <w:r>
        <w:rPr>
          <w:b/>
        </w:rPr>
        <w:t>Fórmula simplificada 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=PROMEDIO(N2,O2,R2,S2,T2)/5</w:t>
        <w:br/>
      </w:r>
    </w:p>
    <w:p>
      <w:pPr>
        <w:pStyle w:val="Heading4"/>
        <w:keepNext/>
        <w:keepLines/>
      </w:pPr>
      <w:r>
        <w:t>ICM — Índice de Cobertura de Métricas (peso: 20%)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</w:t>
        <w:br/>
        <w:t xml:space="preserve">  MIN(AC2/10*5, 5),   [P3_1_Metricas: normalizado 0-10 → 1-5]</w:t>
        <w:br/>
        <w:t xml:space="preserve">  AD2,                 [P3_3_Reporte_Consejo]</w:t>
        <w:br/>
        <w:t xml:space="preserve">  AE2,                 [P3_4_Indicadores_Riesgo]</w:t>
        <w:br/>
        <w:t xml:space="preserve">  PROMEDIO(U2:AB2)     [P3_5_IGM_Dominios: promedio de 7 dominios]</w:t>
        <w:br/>
        <w:t>) / 4</w:t>
        <w:br/>
      </w:r>
    </w:p>
    <w:p>
      <w:pPr>
        <w:pStyle w:val="Heading4"/>
        <w:keepNext/>
        <w:keepLines/>
      </w:pPr>
      <w:r>
        <w:t>IAR — Índice de Alineación Regulatoria (peso: 20%)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</w:t>
        <w:br/>
        <w:t xml:space="preserve">  E2*5,         [Marco_ENS: binario → peso 5 si sí]</w:t>
        <w:br/>
        <w:t xml:space="preserve">  F2*4+G2*3,    [NIS2 Esencial=4pts, Importante=3pts]</w:t>
        <w:br/>
        <w:t xml:space="preserve">  AI2,          [P5_2_NIS2_Impacto]</w:t>
        <w:br/>
        <w:t xml:space="preserve">  SI(H2=1,4,1)  [DORA_cumplimiento: básico 1, bajo DORA 4]</w:t>
        <w:br/>
        <w:t>) / 4</w:t>
        <w:br/>
      </w:r>
    </w:p>
    <w:p>
      <w:pPr>
        <w:pStyle w:val="Heading4"/>
        <w:keepNext/>
        <w:keepLines/>
      </w:pPr>
      <w:r>
        <w:t>IRD — Índice de Resiliencia Digital (peso: 20%)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</w:t>
        <w:br/>
        <w:t xml:space="preserve">  AJ2,             [P6_1_BCP_DRP]</w:t>
        <w:br/>
        <w:t xml:space="preserve">  AK2,             [P6_2_Tabletop]</w:t>
        <w:br/>
        <w:t xml:space="preserve">  PROMEDIO(AL2:AQ2) [P6_3_Metricas_Resiliencia: 6 indicadores]</w:t>
        <w:br/>
        <w:t>) / 3</w:t>
        <w:br/>
      </w:r>
    </w:p>
    <w:p>
      <w:pPr>
        <w:pStyle w:val="Heading4"/>
        <w:keepNext/>
        <w:keepLines/>
      </w:pPr>
      <w:r>
        <w:t>IBE — Índice de Brecha Emergente (peso: 15%)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</w:t>
        <w:br/>
        <w:t xml:space="preserve">  AF2,              [P4_2_IA_Controles]</w:t>
        <w:br/>
        <w:t xml:space="preserve">  MIN(AG2/9*5,5),   [P4_4_SupplyChain: normalizado 0-9 → 1-5]</w:t>
        <w:br/>
        <w:t xml:space="preserve">  AH2,              [P4_6_PQC]</w:t>
        <w:br/>
        <w:t xml:space="preserve">  AR2               [P9_1_ZeroTrust]</w:t>
        <w:br/>
        <w:t>) / 4</w:t>
        <w:br/>
      </w:r>
    </w:p>
    <w:p>
      <w:pPr>
        <w:pStyle w:val="Heading3"/>
        <w:keepNext/>
        <w:keepLines/>
      </w:pPr>
      <w:r>
        <w:t>Cálculo del IGM-CAPEC Global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=REDONDEAR(</w:t>
        <w:br/>
        <w:t xml:space="preserve">  0.25 * IGC </w:t>
        <w:br/>
        <w:t xml:space="preserve">  + 0.20 * ICM </w:t>
        <w:br/>
        <w:t xml:space="preserve">  + 0.20 * IAR </w:t>
        <w:br/>
        <w:t xml:space="preserve">  + 0.20 * IRD </w:t>
        <w:br/>
        <w:t xml:space="preserve">  + 0.15 * IBE, </w:t>
        <w:br/>
        <w:t>2)</w:t>
        <w:br/>
      </w:r>
    </w:p>
    <w:p>
      <w:pPr>
        <w:pStyle w:val="Heading3"/>
        <w:keepNext/>
        <w:keepLines/>
      </w:pPr>
      <w:r>
        <w:t>Clasificación automática del nivel de madurez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=SI(IGM_CAPEC &lt; 0.20, "1 — INICIAL",</w:t>
        <w:br/>
        <w:t xml:space="preserve">  SI(IGM_CAPEC &lt; 0.40, "2 — EN DESARROLLO",</w:t>
        <w:br/>
        <w:t xml:space="preserve">    SI(IGM_CAPEC &lt; 0.60, "3 — DEFINIDO",</w:t>
        <w:br/>
        <w:t xml:space="preserve">      SI(IGM_CAPEC &lt; 0.80, "4 — GESTIONADO",</w:t>
        <w:br/>
        <w:t xml:space="preserve">        "5 — OPTIMIZADO"))))</w:t>
        <w:br/>
      </w:r>
    </w:p>
    <w:p>
      <w:pPr>
        <w:pStyle w:val="Heading3"/>
        <w:keepNext/>
        <w:keepLines/>
      </w:pPr>
      <w:r>
        <w:t>Tabla de resultados por organización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Código anónimo de encuesta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Sector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de actividad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Tamaño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Rango de empleados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Sub-índice de conocimiento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Decimal 0–1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ICM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Sub-índice de métricas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Decimal 0–1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IAR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Sub-índice normativo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Decimal 0–1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IRD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Sub-índice resiliencia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Decimal 0–1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IBE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Sub-índice emergente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Decimal 0–1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IGM_CAPEC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Índice global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Decimal 0–1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Nivel_Madurez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Etiqueta descriptiva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Alerta_Brechas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Dominios con IGM &lt; 0.40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Texto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4: ROSI_CALCULATOR</w:t>
      </w:r>
    </w:p>
    <w:p>
      <w:r>
        <w:rPr>
          <w:b/>
        </w:rPr>
        <w:t>Propósito:</w:t>
      </w:r>
      <w:r>
        <w:t xml:space="preserve"> Calcular el Return on Security Investment (ROSI) y el modelo FAIR de pérdida esperada.</w:t>
      </w:r>
    </w:p>
    <w:p>
      <w:pPr>
        <w:pStyle w:val="Heading3"/>
        <w:keepNext/>
        <w:keepLines/>
      </w:pPr>
      <w:r>
        <w:t>Sección A: Parámetros de entrada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ALE_sin_control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Annualized Loss Expectancy sin controles CAPEC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ALE_con_control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 estimada con controles CAPEC implementados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Budget_Ciberseguridad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anual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Coste_Incidentes_12m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real de incidentes en el último 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Tasa_Reduccion_Riesgo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reducción de riesgo estimada por controles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Factor_Amortizacion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Años de vida útil de los controles implementados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Años</w:t>
            </w:r>
          </w:p>
        </w:tc>
      </w:tr>
    </w:tbl>
    <w:p/>
    <w:p>
      <w:pPr>
        <w:pStyle w:val="Heading3"/>
        <w:keepNext/>
        <w:keepLines/>
      </w:pPr>
      <w:r>
        <w:t>Sección B: Modelo de Pérdida Esperada (FAIR simplificado)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ALE (Annualized Loss Expectancy)</w:t>
        <w:br/>
        <w:t>ALE = Frecuencia_Anual_Incidentes × Magnitud_Media_Pérdida</w:t>
        <w:br/>
        <w:br/>
        <w:t># Frecuencia Anual = TEF (Threat Event Frequency) × Vulnerabilidad</w:t>
        <w:br/>
        <w:t>TEF_estimado = (Incidentes_sector_12m / Organizaciones_sector) × Factor_Criticidad</w:t>
        <w:br/>
        <w:br/>
        <w:t># Magnitud Pérdida = Coste_Directo + Coste_Indirecto + Coste_Reputacional</w:t>
        <w:br/>
        <w:t>Coste_Directo = Respuesta_incidente + Recuperación_sistemas + Notificación</w:t>
        <w:br/>
        <w:t>Coste_Indirecto = Paralización_negocio × Horas_parada + Pérdida_ingresos</w:t>
        <w:br/>
        <w:t>Coste_Reputacional = Pérdida_clientes_estimada × Valor_cliente_medio × 3_años</w:t>
        <w:br/>
      </w:r>
    </w:p>
    <w:p>
      <w:pPr>
        <w:pStyle w:val="Heading3"/>
        <w:keepNext/>
        <w:keepLines/>
      </w:pPr>
      <w:r>
        <w:t>Sección C: Cálculos automáticos ROSI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Beneficio neto anual de los controles de seguridad</w:t>
        <w:br/>
        <w:t>Beneficio_Neto = (ALE_sin_control - ALE_con_control) × Tasa_Reduccion_Riesgo / 100</w:t>
        <w:br/>
        <w:br/>
        <w:t># ROSI como porcentaje</w:t>
        <w:br/>
        <w:t>ROSI_Porcentaje = ((Beneficio_Neto - Budget_Ciberseguridad) / Budget_Ciberseguridad) × 100</w:t>
        <w:br/>
        <w:br/>
        <w:t># ROSI como fórmula Excel en C15:</w:t>
        <w:br/>
        <w:t>=((C5-C6)*C9/100 - C7) / C7 * 100</w:t>
        <w:br/>
        <w:br/>
        <w:t># Payback Period (meses)</w:t>
        <w:br/>
        <w:t>=REDONDEAR((C7 / (Beneficio_Neto / 12)), 0)</w:t>
        <w:br/>
      </w:r>
    </w:p>
    <w:p>
      <w:pPr>
        <w:pStyle w:val="Heading3"/>
        <w:keepNext/>
        <w:keepLines/>
      </w:pPr>
      <w:r>
        <w:t>Sección D: Escenarios de simulación (tabla de sensibilidad)</w:t>
      </w:r>
    </w:p>
    <w:p>
      <w:r>
        <w:t>La hoja incluye una tabla de doble entrada que cruza:</w:t>
      </w:r>
      <w:r/>
      <w:r>
        <w:br/>
        <w:t xml:space="preserve">- </w:t>
      </w:r>
      <w:r>
        <w:rPr>
          <w:b/>
        </w:rPr>
        <w:t>Eje X:</w:t>
      </w:r>
      <w:r>
        <w:t xml:space="preserve"> Nivel de madurez IGM-CAPEC (1–5)</w:t>
      </w:r>
      <w:r/>
      <w:r>
        <w:br/>
        <w:t xml:space="preserve">- </w:t>
      </w:r>
      <w:r>
        <w:rPr>
          <w:b/>
        </w:rPr>
        <w:t>Eje Y:</w:t>
      </w:r>
      <w:r>
        <w:t xml:space="preserve"> Presupuesto de ciberseguridad (% sobre TI: 5%, 10%, 15%, 20%)</w:t>
      </w:r>
    </w:p>
    <w:p>
      <w:r>
        <w:t>Con celdas de formato condicional que marcan en verde los escenarios con ROSI &gt; 200% y en rojo los &lt; 50%.</w:t>
      </w:r>
    </w:p>
    <w:p>
      <w:pPr>
        <w:pStyle w:val="Heading3"/>
        <w:keepNext/>
        <w:keepLines/>
      </w:pPr>
      <w:r>
        <w:t>Sección E: Estimación de sanciones regulatorias evitadas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NIS2 - Sanción máxima</w:t>
        <w:br/>
        <w:t>Sancion_NIS2_Esencial = 0.02 × Facturacion_Global_Anual   (Art. 32)</w:t>
        <w:br/>
        <w:t>Sancion_NIS2_Importante = 0.014 × Facturacion_Global_Anual (Art. 33)</w:t>
        <w:br/>
        <w:br/>
        <w:t># RGPD</w:t>
        <w:br/>
        <w:t>Sancion_RGPD = MAX(20.000.000, 0.04 × Facturacion_Global_Anual)</w:t>
        <w:br/>
        <w:br/>
        <w:t># DORA (Art. 50)</w:t>
        <w:br/>
        <w:t>Sancion_DORA = Variable según infracción específica</w:t>
        <w:br/>
        <w:br/>
        <w:t># Fórmula de riesgo regulatorio total evitado:</w:t>
        <w:br/>
        <w:t>Beneficio_Regulatorio = (Probabilidad_Sancion_Sin_Control - Probabilidad_Sancion_Con_Control) × Sancion_Estimada</w:t>
        <w:br/>
      </w:r>
    </w:p>
    <w:p>
      <w:pPr>
        <w:pStyle w:val="Heading2"/>
        <w:keepNext/>
        <w:keepLines/>
      </w:pPr>
      <w:r>
        <w:rPr>
          <w:color w:val="0066CC"/>
        </w:rPr>
        <w:t>HOJA 5: BENCHMARK_SECTORIAL</w:t>
      </w:r>
    </w:p>
    <w:p>
      <w:r>
        <w:rPr>
          <w:b/>
        </w:rPr>
        <w:t>Propósito:</w:t>
      </w:r>
      <w:r>
        <w:t xml:space="preserve"> Tabla de benchmarking por sector para comparar el IGM-CAPEC de la organización con la media del sector.</w:t>
      </w:r>
    </w:p>
    <w:p>
      <w:pPr>
        <w:pStyle w:val="Heading3"/>
        <w:keepNext/>
        <w:keepLines/>
      </w:pPr>
      <w:r>
        <w:t>Estructura de la tabla de benchmark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Medio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IGC Medio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ICM Medio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IAR Medio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IRD Medio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IBE Medio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 Organizaciones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Banca / Financiero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=PROMEDIO(...)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=CONTAR(...)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Energía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AA.PP.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Telecos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Transporte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Tecnología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Fabricación/OT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Otros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TOTAL ESPAÑA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=IGM_Global</w:t>
            </w:r>
          </w:p>
        </w:tc>
        <w:tc>
          <w:tcPr>
            <w:tcW w:type="dxa" w:w="1170"/>
          </w:tcPr>
          <w:p>
            <w:pPr>
              <w:keepLines w:val="1"/>
            </w:pPr>
            <w:r/>
          </w:p>
        </w:tc>
        <w:tc>
          <w:tcPr>
            <w:tcW w:type="dxa" w:w="1170"/>
          </w:tcPr>
          <w:p>
            <w:pPr>
              <w:keepLines w:val="1"/>
            </w:pPr>
            <w:r/>
          </w:p>
        </w:tc>
        <w:tc>
          <w:tcPr>
            <w:tcW w:type="dxa" w:w="1170"/>
          </w:tcPr>
          <w:p>
            <w:pPr>
              <w:keepLines w:val="1"/>
            </w:pPr>
            <w:r/>
          </w:p>
        </w:tc>
        <w:tc>
          <w:tcPr>
            <w:tcW w:type="dxa" w:w="1170"/>
          </w:tcPr>
          <w:p>
            <w:pPr>
              <w:keepLines w:val="1"/>
            </w:pPr>
            <w:r/>
          </w:p>
        </w:tc>
        <w:tc>
          <w:tcPr>
            <w:tcW w:type="dxa" w:w="1170"/>
          </w:tcPr>
          <w:p>
            <w:pPr>
              <w:keepLines w:val="1"/>
            </w:pPr>
            <w:r/>
          </w:p>
        </w:tc>
        <w:tc>
          <w:tcPr>
            <w:tcW w:type="dxa" w:w="1170"/>
          </w:tcPr>
          <w:p>
            <w:pPr>
              <w:keepLines w:val="1"/>
            </w:pPr>
            <w:r>
              <w:t>=N_Total</w:t>
            </w:r>
          </w:p>
        </w:tc>
      </w:tr>
    </w:tbl>
    <w:p/>
    <w:p>
      <w:pPr>
        <w:pStyle w:val="Heading3"/>
        <w:keepNext/>
        <w:keepLines/>
      </w:pPr>
      <w:r>
        <w:t>Posición relativa</w:t>
      </w:r>
    </w:p>
    <w:p>
      <w:r>
        <w:t>La hoja calcula automáticamente para cada organización: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Percentil de la organización respecto a su sector</w:t>
        <w:br/>
        <w:t>=RANGO.PERCENTIL(IGM_Sector, IGM_Org, 1)</w:t>
        <w:br/>
        <w:br/>
        <w:t># Distancia al liderazgo sectorial (percentil 75)</w:t>
        <w:br/>
        <w:t>=PERCENTIL(IGM_Sector, 0.75) - IGM_Org</w:t>
        <w:br/>
        <w:br/>
        <w:t># Etiqueta de posición:</w:t>
        <w:br/>
        <w:t>=SI(Percentil&gt;=75, "Líder sectorial",</w:t>
        <w:br/>
        <w:t xml:space="preserve">  SI(Percentil&gt;=50, "Por encima de la media",</w:t>
        <w:br/>
        <w:t xml:space="preserve">    SI(Percentil&gt;=25, "En la media",</w:t>
        <w:br/>
        <w:t xml:space="preserve">      "Por debajo de la media — acción prioritaria")))</w:t>
        <w:br/>
      </w:r>
    </w:p>
    <w:p>
      <w:pPr>
        <w:pStyle w:val="Heading2"/>
        <w:keepNext/>
        <w:keepLines/>
      </w:pPr>
      <w:r>
        <w:rPr>
          <w:color w:val="0066CC"/>
        </w:rPr>
        <w:t>HOJA 6: DASHBOARD_EJECUTIVO</w:t>
      </w:r>
    </w:p>
    <w:p>
      <w:r>
        <w:rPr>
          <w:b/>
        </w:rPr>
        <w:t>Propósito:</w:t>
      </w:r>
      <w:r>
        <w:t xml:space="preserve"> Panel visual de una página para presentar ante el Consejo de Administración.</w:t>
      </w:r>
    </w:p>
    <w:p>
      <w:pPr>
        <w:pStyle w:val="Heading3"/>
        <w:keepNext/>
        <w:keepLines/>
      </w:pPr>
      <w:r>
        <w:t>Componentes del dashboard</w:t>
      </w:r>
    </w:p>
    <w:p>
      <w:r>
        <w:rPr>
          <w:b/>
        </w:rPr>
        <w:t>Bloque 1: IGM-CAPEC Score Card</w:t>
      </w:r>
      <w:r/>
      <w:r>
        <w:br/>
        <w:t>- Gauge chart con el IGM-CAPEC global (0–1) y la etiqueta del nivel de madurez</w:t>
      </w:r>
      <w:r/>
      <w:r>
        <w:br/>
        <w:t>- Indicadores de variación interanual (flecha ↑↓ si hay datos del año anterior)</w:t>
      </w:r>
    </w:p>
    <w:p>
      <w:r>
        <w:rPr>
          <w:b/>
        </w:rPr>
        <w:t>Bloque 2: Araña de Sub-Índices</w:t>
      </w:r>
      <w:r/>
      <w:r>
        <w:br/>
        <w:t>- Gráfico de radar (spider chart) con los 5 sub-índices: IGC, ICM, IAR, IRD, IBE</w:t>
      </w:r>
      <w:r/>
      <w:r>
        <w:br/>
        <w:t>- Superposición de la línea de benchmark sectorial</w:t>
      </w:r>
    </w:p>
    <w:p>
      <w:r>
        <w:rPr>
          <w:b/>
        </w:rPr>
        <w:t>Bloque 3: Madurez por Dominio CAPEC</w:t>
      </w:r>
      <w:r/>
      <w:r>
        <w:br/>
        <w:t>- Barras horizontales para los 7 dominios con semáforo de colores:</w:t>
      </w:r>
      <w:r/>
      <w:r>
        <w:br/>
        <w:t xml:space="preserve">  - 🔴 IGM &lt; 0.40 — brechas críticas</w:t>
      </w:r>
      <w:r/>
      <w:r>
        <w:br/>
        <w:t xml:space="preserve">  - 🟡 IGM 0.40–0.60 — en desarrollo</w:t>
      </w:r>
      <w:r/>
      <w:r>
        <w:br/>
        <w:t xml:space="preserve">  - 🟢 IGM &gt; 0.60 — gestionado</w:t>
      </w:r>
    </w:p>
    <w:p>
      <w:r>
        <w:rPr>
          <w:b/>
        </w:rPr>
        <w:t>Bloque 4: ROSI Ejecutivo</w:t>
      </w:r>
      <w:r/>
      <w:r>
        <w:br/>
        <w:t>- KPI de inversión anual en seguridad (EUR)</w:t>
      </w:r>
      <w:r/>
      <w:r>
        <w:br/>
        <w:t>- KPI de ROSI calculado (%)</w:t>
      </w:r>
      <w:r/>
      <w:r>
        <w:br/>
        <w:t>- KPI de sanciones regulatorias evitadas estimadas (EUR)</w:t>
      </w:r>
      <w:r/>
      <w:r>
        <w:br/>
        <w:t>- KPI de periodo de recuperación de la inversión (meses)</w:t>
      </w:r>
    </w:p>
    <w:p>
      <w:r>
        <w:rPr>
          <w:b/>
        </w:rPr>
        <w:t>Bloque 5: Top 3 Brechas Prioritarias</w:t>
      </w:r>
      <w:r/>
      <w:r>
        <w:br/>
        <w:t>- Lista automática de los 3 dominios con menor IGM-CAPEC</w:t>
      </w:r>
      <w:r/>
      <w:r>
        <w:br/>
        <w:t>- Recomendación de acción vinculada al Plan de Acción (Hoja 7)</w:t>
      </w:r>
    </w:p>
    <w:p>
      <w:pPr>
        <w:pStyle w:val="Heading2"/>
        <w:keepNext/>
        <w:keepLines/>
      </w:pPr>
      <w:r>
        <w:rPr>
          <w:color w:val="0066CC"/>
        </w:rPr>
        <w:t>HOJA 7: PLAN_ACCION</w:t>
      </w:r>
    </w:p>
    <w:p>
      <w:r>
        <w:rPr>
          <w:b/>
        </w:rPr>
        <w:t>Propósito:</w:t>
      </w:r>
      <w:r>
        <w:t xml:space="preserve"> Plantilla de plan de acción priorizado automáticamente según las brechas detectadas.</w:t>
      </w:r>
    </w:p>
    <w:p>
      <w:pPr>
        <w:pStyle w:val="Heading3"/>
        <w:keepNext/>
        <w:keepLines/>
      </w:pPr>
      <w:r>
        <w:t>Estructura de la tabla de acciones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Brecha detectada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CAPEC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Patrón(es) clave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recomendada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normativo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 estimado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estimado EUR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AC-001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IGM-Software &lt; 0.40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Software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CAPEC-63, CAPEC-86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Implementar SAST/DAST en pipeline CI/CD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Art.21.2.e / ENS M.op.pl.1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CRÍTICA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 meses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Dev-Sec Lead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Pendiente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AC-002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Sin política IA generativa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Ingeniería Social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CAPEC-163, CAPEC-98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Redactar y aprobar política de uso de IA generativa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Art.21.2.h / ISO 42001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 mes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Pendiente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AC-003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HNDL sin estrategia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Comunicaciones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CAPEC (nueva entrada)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Iniciar inventario criptográfico y evaluación PQC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M.mp.com.2 / NIST FIPS 203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6 meses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Arquitecto Seguridad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Pendiente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AC-004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Sin SBOM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Supply Chain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CAPEC-437, CAPEC-538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Generar SBOM automatizado con herramienta SCA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NIS2 Art.21.2.d / DORA Art.28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ALTA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 meses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DevOps Lead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Pendiente</w:t>
            </w:r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8: REFERENCIAS</w:t>
      </w:r>
    </w:p>
    <w:p>
      <w:r>
        <w:rPr>
          <w:b/>
        </w:rPr>
        <w:t>Propósito:</w:t>
      </w:r>
      <w:r>
        <w:t xml:space="preserve"> Tabla de referencia de patrones CAPEC más relevantes para cada dominio.</w:t>
      </w:r>
    </w:p>
    <w:p>
      <w:pPr>
        <w:pStyle w:val="Heading3"/>
        <w:keepNext/>
        <w:keepLines/>
      </w:pPr>
      <w:r>
        <w:t>Tabla de patrones CAPEC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CAPEC-ID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Likelihood_Of_Attack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Typical_Severity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Controles mínimos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ATT&amp;CK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CAPEC-63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Cross-Site Scripting (XSS)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Software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Inject Unexpected Items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CSP, Input validation, Output encoding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T1059.007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CAPEC-62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Cross-Site Request Forgery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Software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Abuse of Functionality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CSRF tokens, SameSite cookies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T1185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CAPEC-98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Phishing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Ing. Social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Deceptive Interactions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DMARC/SPF/DKIM, MFA, user training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T1566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CAPEC-163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Spear Phishing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Ing. Social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Muy 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Deceptive Interactions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Executive protection, AI-detection tools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T1566.002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CAPEC-437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Muy 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Manipulate System Resources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SBOM, SCA, CI/CD hardening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T1195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CAPEC-538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Open Source SW Manipulation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Manipulate System Resources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Dependency pinning, private registry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T1195.001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CAPEC-695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Repo Jacking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Manipulate System Resources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Namespace protection, monitoring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T1195.001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Abuse of Trusted Credentials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Comunicaciones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Muy 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Gain Privileges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MFA, PAM, Zero Trust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T1550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CAPEC-633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Token Impersonation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Comunicaciones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Muy 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Gain Privileges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Token binding, short-lived tokens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T1134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CAPEC-186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Malicious Software Update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Muy 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Manipulate System Resources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Signature verification, SBOM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T1195.002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CAPEC-34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HTTP Response Splitting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Software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Inject Unexpected Items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HTTP security headers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T1059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INSTRUCCIONES DE IMPLEMENTACIÓN RÁPIDA</w:t>
      </w:r>
    </w:p>
    <w:p>
      <w:pPr>
        <w:pStyle w:val="Heading3"/>
        <w:keepNext/>
        <w:keepLines/>
      </w:pPr>
      <w:r>
        <w:t>Paso 1: Importar datos de la encuesta</w:t>
      </w:r>
    </w:p>
    <w:p>
      <w:pPr>
        <w:pStyle w:val="ListNumber"/>
        <w:keepLines w:val="1"/>
        <w:keepNext w:val="1"/>
        <w:widowControl w:val="1"/>
      </w:pPr>
      <w:r>
        <w:t>Abrir la hoja ENCUESTA_DATOS</w:t>
      </w:r>
    </w:p>
    <w:p>
      <w:pPr>
        <w:pStyle w:val="ListNumber"/>
        <w:keepLines w:val="1"/>
        <w:keepNext w:val="1"/>
        <w:widowControl w:val="1"/>
      </w:pPr>
      <w:r>
        <w:t>Pegar las respuestas exportadas de Google Forms / LimeSurvey / Qualtrics</w:t>
      </w:r>
    </w:p>
    <w:p>
      <w:pPr>
        <w:pStyle w:val="ListNumber"/>
        <w:keepLines w:val="1"/>
        <w:widowControl w:val="1"/>
      </w:pPr>
      <w:r>
        <w:t>Asegurarse de que los campos numéricos tienen formato numérico (no texto)</w:t>
      </w:r>
    </w:p>
    <w:p>
      <w:pPr>
        <w:pStyle w:val="Heading3"/>
        <w:keepNext/>
        <w:keepLines/>
      </w:pPr>
      <w:r>
        <w:t>Paso 2: Verificar cálculos automáticos</w:t>
      </w:r>
    </w:p>
    <w:p>
      <w:pPr>
        <w:pStyle w:val="ListNumber"/>
        <w:keepLines w:val="1"/>
        <w:keepNext w:val="1"/>
        <w:widowControl w:val="1"/>
      </w:pPr>
      <w:r>
        <w:t>Ir a la hoja IGM_CAPEC</w:t>
      </w:r>
    </w:p>
    <w:p>
      <w:pPr>
        <w:pStyle w:val="ListNumber"/>
        <w:keepLines w:val="1"/>
        <w:keepNext w:val="1"/>
        <w:widowControl w:val="1"/>
      </w:pPr>
      <w:r>
        <w:t>Verificar que las fórmulas calculan correctamente para las primeras 5 filas</w:t>
      </w:r>
    </w:p>
    <w:p>
      <w:pPr>
        <w:pStyle w:val="ListNumber"/>
        <w:keepLines w:val="1"/>
        <w:widowControl w:val="1"/>
      </w:pPr>
      <w:r>
        <w:t>Si aparece #¡REF! o #¡VALOR!, revisar la hoja INSTRUCCIONES para depuración</w:t>
      </w:r>
    </w:p>
    <w:p>
      <w:pPr>
        <w:pStyle w:val="Heading3"/>
        <w:keepNext/>
        <w:keepLines/>
      </w:pPr>
      <w:r>
        <w:t>Paso 3: Personalizar benchmark</w:t>
      </w:r>
    </w:p>
    <w:p>
      <w:pPr>
        <w:pStyle w:val="ListNumber"/>
        <w:keepLines w:val="1"/>
        <w:keepNext w:val="1"/>
        <w:widowControl w:val="1"/>
      </w:pPr>
      <w:r>
        <w:t>Si tiene datos sectoriales previos, introducirlos en BENCHMARK_SECTORIAL columna "Media Referencia"</w:t>
      </w:r>
    </w:p>
    <w:p>
      <w:pPr>
        <w:pStyle w:val="ListNumber"/>
        <w:keepLines w:val="1"/>
        <w:widowControl w:val="1"/>
      </w:pPr>
      <w:r>
        <w:t>Los percentiles se calcularán automáticamente</w:t>
      </w:r>
    </w:p>
    <w:p>
      <w:pPr>
        <w:pStyle w:val="Heading3"/>
        <w:keepNext/>
        <w:keepLines/>
      </w:pPr>
      <w:r>
        <w:t>Paso 4: Generar dashboard</w:t>
      </w:r>
    </w:p>
    <w:p>
      <w:pPr>
        <w:pStyle w:val="ListNumber"/>
        <w:keepLines w:val="1"/>
        <w:keepNext w:val="1"/>
        <w:widowControl w:val="1"/>
      </w:pPr>
      <w:r>
        <w:t>La hoja DASHBOARD_EJECUTIVO se actualiza automáticamente</w:t>
      </w:r>
    </w:p>
    <w:p>
      <w:pPr>
        <w:pStyle w:val="ListNumber"/>
        <w:keepLines w:val="1"/>
        <w:widowControl w:val="1"/>
      </w:pPr>
      <w:r>
        <w:t>Exportar a PDF: Archivo → Exportar → Crear PDF/XPS (diseñada para formato A4 apaisado)</w:t>
      </w:r>
    </w:p>
    <w:p>
      <w:pPr>
        <w:pStyle w:val="Heading3"/>
        <w:keepNext/>
        <w:keepLines/>
      </w:pPr>
      <w:r>
        <w:t>Paso 5: Priorizar acciones</w:t>
      </w:r>
    </w:p>
    <w:p>
      <w:pPr>
        <w:pStyle w:val="ListNumber"/>
        <w:keepLines w:val="1"/>
        <w:keepNext w:val="1"/>
        <w:widowControl w:val="1"/>
      </w:pPr>
      <w:r>
        <w:t>La hoja PLAN_ACCION mostrará automáticamente las 5 brechas más críticas</w:t>
      </w:r>
    </w:p>
    <w:p>
      <w:pPr>
        <w:pStyle w:val="ListNumber"/>
        <w:keepLines w:val="1"/>
        <w:widowControl w:val="1"/>
      </w:pPr>
      <w:r>
        <w:t>Asignar responsables y fechas en las columnas correspondientes</w:t>
      </w:r>
    </w:p>
    <w:p>
      <w:pPr>
        <w:pStyle w:val="Heading2"/>
        <w:keepNext/>
        <w:keepLines/>
      </w:pPr>
      <w:r>
        <w:rPr>
          <w:color w:val="0066CC"/>
        </w:rPr>
        <w:t>NOTAS DE COMPATIBILIDAD</w:t>
      </w:r>
    </w:p>
    <w:p>
      <w:pPr>
        <w:pStyle w:val="ListBullet"/>
        <w:keepLines w:val="1"/>
        <w:keepNext w:val="1"/>
        <w:widowControl w:val="1"/>
      </w:pPr>
      <w:r>
        <w:t>Compatible con Microsoft Excel 365 / 2021 / 2019 y Google Sheets</w:t>
      </w:r>
    </w:p>
    <w:p>
      <w:pPr>
        <w:pStyle w:val="ListBullet"/>
        <w:keepLines w:val="1"/>
        <w:keepNext w:val="1"/>
        <w:widowControl w:val="1"/>
      </w:pPr>
      <w:r>
        <w:t>Las tablas dinámicas requieren actualización manual: Datos → Actualizar todo</w:t>
      </w:r>
    </w:p>
    <w:p>
      <w:pPr>
        <w:pStyle w:val="ListBullet"/>
        <w:keepLines w:val="1"/>
        <w:keepNext w:val="1"/>
        <w:widowControl w:val="1"/>
      </w:pPr>
      <w:r>
        <w:t>Los gauge charts requieren Excel 365 o la instalación del complemento correspondiente en versiones anteriores</w:t>
      </w:r>
    </w:p>
    <w:p>
      <w:pPr>
        <w:pStyle w:val="ListBullet"/>
        <w:keepLines w:val="1"/>
        <w:widowControl w:val="1"/>
      </w:pPr>
      <w:r>
        <w:t>En Google Sheets, algunas funciones avanzadas (RANGO.PERCENTIL, anidamientos complejos) pueden requerir adaptación a la sintaxis de Sheets</w:t>
      </w:r>
    </w:p>
    <w:p>
      <w:r>
        <w:rPr>
          <w:i/>
        </w:rPr>
        <w:t>Kit de Encuesta CAPEC-ESP · Documento E: Plantilla Excel IGM-ROI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