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PLANTILLA DE REPORTE EJECUTIVO EN POWERPOINT</w:t>
      </w:r>
    </w:p>
    <w:p>
      <w:pPr>
        <w:pStyle w:val="Heading2"/>
        <w:keepNext/>
        <w:keepLines/>
      </w:pPr>
      <w:r>
        <w:rPr>
          <w:color w:val="0066CC"/>
        </w:rPr>
        <w:t>Estructura, Contenido y Diseño de las 18+6 Diapositivas</w:t>
      </w:r>
    </w:p>
    <w:p>
      <w:pPr>
        <w:pStyle w:val="Heading3"/>
        <w:keepNext/>
        <w:keepLines/>
      </w:pPr>
      <w:r>
        <w:t>Kit de Encuesta CAPEC-ESP · Documento F · Versión 1.0 · Abril 2026</w:t>
      </w:r>
    </w:p>
    <w:p>
      <w:r>
        <w:rPr>
          <w:i/>
        </w:rPr>
        <w:t>«Una diapositiva es el espacio donde la complejidad técnica negocia su rendición ante la atención directiva. Que la rendición sea digna.»</w:t>
      </w:r>
    </w:p>
    <w:p>
      <w:pPr>
        <w:pStyle w:val="Heading2"/>
        <w:keepNext/>
        <w:keepLines/>
      </w:pPr>
      <w:r>
        <w:rPr>
          <w:color w:val="0066CC"/>
        </w:rPr>
        <w:t>ESPECIFICACIONES GENERALES</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Parámetro</w:t>
            </w:r>
          </w:p>
        </w:tc>
        <w:tc>
          <w:tcPr>
            <w:tcW w:type="dxa" w:w="4680"/>
            <w:shd w:fill="0033CC"/>
          </w:tcPr>
          <w:p>
            <w:pPr>
              <w:keepLines w:val="1"/>
              <w:keepNext w:val="1"/>
            </w:pPr>
            <w:r>
              <w:rPr>
                <w:b/>
                <w:color w:val="FFFFFF"/>
              </w:rPr>
              <w:t>Valor</w:t>
            </w:r>
          </w:p>
        </w:tc>
      </w:tr>
      <w:tr>
        <w:trPr>
          <w:cantSplit w:val="1"/>
        </w:trPr>
        <w:tc>
          <w:tcPr>
            <w:tcW w:type="dxa" w:w="4680"/>
          </w:tcPr>
          <w:p>
            <w:pPr>
              <w:keepLines w:val="1"/>
              <w:keepNext w:val="1"/>
            </w:pPr>
            <w:r>
              <w:t>Formato de archivo</w:t>
            </w:r>
          </w:p>
        </w:tc>
        <w:tc>
          <w:tcPr>
            <w:tcW w:type="dxa" w:w="4680"/>
          </w:tcPr>
          <w:p>
            <w:pPr>
              <w:keepLines w:val="1"/>
              <w:keepNext w:val="1"/>
            </w:pPr>
            <w:r>
              <w:t>CAPEC-ESP-Reporte-Ejecutivo-v1.0.pptx</w:t>
            </w:r>
          </w:p>
        </w:tc>
      </w:tr>
      <w:tr>
        <w:trPr>
          <w:cantSplit w:val="1"/>
        </w:trPr>
        <w:tc>
          <w:tcPr>
            <w:tcW w:type="dxa" w:w="4680"/>
          </w:tcPr>
          <w:p>
            <w:pPr>
              <w:keepLines w:val="1"/>
              <w:keepNext w:val="1"/>
            </w:pPr>
            <w:r>
              <w:t>Dimensiones</w:t>
            </w:r>
          </w:p>
        </w:tc>
        <w:tc>
          <w:tcPr>
            <w:tcW w:type="dxa" w:w="4680"/>
          </w:tcPr>
          <w:p>
            <w:pPr>
              <w:keepLines w:val="1"/>
              <w:keepNext w:val="1"/>
            </w:pPr>
            <w:r>
              <w:t>16:9 (33,87 cm × 19,05 cm)</w:t>
            </w:r>
          </w:p>
        </w:tc>
      </w:tr>
      <w:tr>
        <w:trPr>
          <w:cantSplit w:val="1"/>
        </w:trPr>
        <w:tc>
          <w:tcPr>
            <w:tcW w:type="dxa" w:w="4680"/>
          </w:tcPr>
          <w:p>
            <w:pPr>
              <w:keepLines w:val="1"/>
              <w:keepNext w:val="1"/>
            </w:pPr>
            <w:r>
              <w:t>Total de diapositivas</w:t>
            </w:r>
          </w:p>
        </w:tc>
        <w:tc>
          <w:tcPr>
            <w:tcW w:type="dxa" w:w="4680"/>
          </w:tcPr>
          <w:p>
            <w:pPr>
              <w:keepLines w:val="1"/>
              <w:keepNext w:val="1"/>
            </w:pPr>
            <w:r>
              <w:t>18 principales + 6 de respaldo (backup)</w:t>
            </w:r>
          </w:p>
        </w:tc>
      </w:tr>
      <w:tr>
        <w:trPr>
          <w:cantSplit w:val="1"/>
        </w:trPr>
        <w:tc>
          <w:tcPr>
            <w:tcW w:type="dxa" w:w="4680"/>
          </w:tcPr>
          <w:p>
            <w:pPr>
              <w:keepLines w:val="1"/>
              <w:keepNext w:val="1"/>
            </w:pPr>
            <w:r>
              <w:t>Audiencias objetivo</w:t>
            </w:r>
          </w:p>
        </w:tc>
        <w:tc>
          <w:tcPr>
            <w:tcW w:type="dxa" w:w="4680"/>
          </w:tcPr>
          <w:p>
            <w:pPr>
              <w:keepLines w:val="1"/>
              <w:keepNext w:val="1"/>
            </w:pPr>
            <w:r>
              <w:t>Consejo de Administración / Comité de Dirección / Regulador / Técnico</w:t>
            </w:r>
          </w:p>
        </w:tc>
      </w:tr>
      <w:tr>
        <w:trPr>
          <w:cantSplit w:val="1"/>
        </w:trPr>
        <w:tc>
          <w:tcPr>
            <w:tcW w:type="dxa" w:w="4680"/>
          </w:tcPr>
          <w:p>
            <w:pPr>
              <w:keepLines w:val="1"/>
            </w:pPr>
            <w:r>
              <w:t>Tiempo de presentación</w:t>
            </w:r>
          </w:p>
        </w:tc>
        <w:tc>
          <w:tcPr>
            <w:tcW w:type="dxa" w:w="4680"/>
          </w:tcPr>
          <w:p>
            <w:pPr>
              <w:keepLines w:val="1"/>
            </w:pPr>
            <w:r>
              <w:t>25–30 min (formato completo) / 12–15 min (formato abreviado)</w:t>
            </w:r>
          </w:p>
        </w:tc>
      </w:tr>
    </w:tbl>
    <w:p/>
    <w:p>
      <w:pPr>
        <w:pStyle w:val="Heading2"/>
        <w:keepNext/>
        <w:keepLines/>
      </w:pPr>
      <w:r>
        <w:rPr>
          <w:color w:val="0066CC"/>
        </w:rPr>
        <w:t>PALETA DE COLORES INSTITUCIONAL</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Uso</w:t>
            </w:r>
          </w:p>
        </w:tc>
        <w:tc>
          <w:tcPr>
            <w:tcW w:type="dxa" w:w="2340"/>
            <w:shd w:fill="0033CC"/>
          </w:tcPr>
          <w:p>
            <w:pPr>
              <w:keepLines w:val="1"/>
              <w:keepNext w:val="1"/>
            </w:pPr>
            <w:r>
              <w:rPr>
                <w:b/>
                <w:color w:val="FFFFFF"/>
              </w:rPr>
              <w:t>Color</w:t>
            </w:r>
          </w:p>
        </w:tc>
        <w:tc>
          <w:tcPr>
            <w:tcW w:type="dxa" w:w="2340"/>
            <w:shd w:fill="0033CC"/>
          </w:tcPr>
          <w:p>
            <w:pPr>
              <w:keepLines w:val="1"/>
              <w:keepNext w:val="1"/>
            </w:pPr>
            <w:r>
              <w:rPr>
                <w:b/>
                <w:color w:val="FFFFFF"/>
              </w:rPr>
              <w:t>HEX</w:t>
            </w:r>
          </w:p>
        </w:tc>
        <w:tc>
          <w:tcPr>
            <w:tcW w:type="dxa" w:w="2340"/>
            <w:shd w:fill="0033CC"/>
          </w:tcPr>
          <w:p>
            <w:pPr>
              <w:keepLines w:val="1"/>
              <w:keepNext w:val="1"/>
            </w:pPr>
            <w:r>
              <w:rPr>
                <w:b/>
                <w:color w:val="FFFFFF"/>
              </w:rPr>
              <w:t>RGB</w:t>
            </w:r>
          </w:p>
        </w:tc>
      </w:tr>
      <w:tr>
        <w:trPr>
          <w:cantSplit w:val="1"/>
        </w:trPr>
        <w:tc>
          <w:tcPr>
            <w:tcW w:type="dxa" w:w="2340"/>
          </w:tcPr>
          <w:p>
            <w:pPr>
              <w:keepLines w:val="1"/>
              <w:keepNext w:val="1"/>
            </w:pPr>
            <w:r>
              <w:t>Fondo principal</w:t>
            </w:r>
          </w:p>
        </w:tc>
        <w:tc>
          <w:tcPr>
            <w:tcW w:type="dxa" w:w="2340"/>
          </w:tcPr>
          <w:p>
            <w:pPr>
              <w:keepLines w:val="1"/>
              <w:keepNext w:val="1"/>
            </w:pPr>
            <w:r>
              <w:t>Blanco institucional</w:t>
            </w:r>
          </w:p>
        </w:tc>
        <w:tc>
          <w:tcPr>
            <w:tcW w:type="dxa" w:w="2340"/>
          </w:tcPr>
          <w:p>
            <w:pPr>
              <w:keepLines w:val="1"/>
              <w:keepNext w:val="1"/>
            </w:pPr>
            <w:r>
              <w:t>#FFFFFF</w:t>
            </w:r>
          </w:p>
        </w:tc>
        <w:tc>
          <w:tcPr>
            <w:tcW w:type="dxa" w:w="2340"/>
          </w:tcPr>
          <w:p>
            <w:pPr>
              <w:keepLines w:val="1"/>
              <w:keepNext w:val="1"/>
            </w:pPr>
            <w:r>
              <w:t>255, 255, 255</w:t>
            </w:r>
          </w:p>
        </w:tc>
      </w:tr>
      <w:tr>
        <w:trPr>
          <w:cantSplit w:val="1"/>
        </w:trPr>
        <w:tc>
          <w:tcPr>
            <w:tcW w:type="dxa" w:w="2340"/>
          </w:tcPr>
          <w:p>
            <w:pPr>
              <w:keepLines w:val="1"/>
              <w:keepNext w:val="1"/>
            </w:pPr>
            <w:r>
              <w:t>Color primario (cabeceras, énfasis)</w:t>
            </w:r>
          </w:p>
        </w:tc>
        <w:tc>
          <w:tcPr>
            <w:tcW w:type="dxa" w:w="2340"/>
          </w:tcPr>
          <w:p>
            <w:pPr>
              <w:keepLines w:val="1"/>
              <w:keepNext w:val="1"/>
            </w:pPr>
            <w:r>
              <w:t>Azul CAPEC</w:t>
            </w:r>
          </w:p>
        </w:tc>
        <w:tc>
          <w:tcPr>
            <w:tcW w:type="dxa" w:w="2340"/>
          </w:tcPr>
          <w:p>
            <w:pPr>
              <w:keepLines w:val="1"/>
              <w:keepNext w:val="1"/>
            </w:pPr>
            <w:r>
              <w:t>#003366</w:t>
            </w:r>
          </w:p>
        </w:tc>
        <w:tc>
          <w:tcPr>
            <w:tcW w:type="dxa" w:w="2340"/>
          </w:tcPr>
          <w:p>
            <w:pPr>
              <w:keepLines w:val="1"/>
              <w:keepNext w:val="1"/>
            </w:pPr>
            <w:r>
              <w:t>0, 51, 102</w:t>
            </w:r>
          </w:p>
        </w:tc>
      </w:tr>
      <w:tr>
        <w:trPr>
          <w:cantSplit w:val="1"/>
        </w:trPr>
        <w:tc>
          <w:tcPr>
            <w:tcW w:type="dxa" w:w="2340"/>
          </w:tcPr>
          <w:p>
            <w:pPr>
              <w:keepLines w:val="1"/>
              <w:keepNext w:val="1"/>
            </w:pPr>
            <w:r>
              <w:t>Color secundario (gráficas, accents)</w:t>
            </w:r>
          </w:p>
        </w:tc>
        <w:tc>
          <w:tcPr>
            <w:tcW w:type="dxa" w:w="2340"/>
          </w:tcPr>
          <w:p>
            <w:pPr>
              <w:keepLines w:val="1"/>
              <w:keepNext w:val="1"/>
            </w:pPr>
            <w:r>
              <w:t>Azul INCIBE</w:t>
            </w:r>
          </w:p>
        </w:tc>
        <w:tc>
          <w:tcPr>
            <w:tcW w:type="dxa" w:w="2340"/>
          </w:tcPr>
          <w:p>
            <w:pPr>
              <w:keepLines w:val="1"/>
              <w:keepNext w:val="1"/>
            </w:pPr>
            <w:r>
              <w:t>#0055A4</w:t>
            </w:r>
          </w:p>
        </w:tc>
        <w:tc>
          <w:tcPr>
            <w:tcW w:type="dxa" w:w="2340"/>
          </w:tcPr>
          <w:p>
            <w:pPr>
              <w:keepLines w:val="1"/>
              <w:keepNext w:val="1"/>
            </w:pPr>
            <w:r>
              <w:t>0, 85, 164</w:t>
            </w:r>
          </w:p>
        </w:tc>
      </w:tr>
      <w:tr>
        <w:trPr>
          <w:cantSplit w:val="1"/>
        </w:trPr>
        <w:tc>
          <w:tcPr>
            <w:tcW w:type="dxa" w:w="2340"/>
          </w:tcPr>
          <w:p>
            <w:pPr>
              <w:keepLines w:val="1"/>
              <w:keepNext w:val="1"/>
            </w:pPr>
            <w:r>
              <w:t>Alerta crítica</w:t>
            </w:r>
          </w:p>
        </w:tc>
        <w:tc>
          <w:tcPr>
            <w:tcW w:type="dxa" w:w="2340"/>
          </w:tcPr>
          <w:p>
            <w:pPr>
              <w:keepLines w:val="1"/>
              <w:keepNext w:val="1"/>
            </w:pPr>
            <w:r>
              <w:t>Rojo ciberseguridad</w:t>
            </w:r>
          </w:p>
        </w:tc>
        <w:tc>
          <w:tcPr>
            <w:tcW w:type="dxa" w:w="2340"/>
          </w:tcPr>
          <w:p>
            <w:pPr>
              <w:keepLines w:val="1"/>
              <w:keepNext w:val="1"/>
            </w:pPr>
            <w:r>
              <w:t>#CC0000</w:t>
            </w:r>
          </w:p>
        </w:tc>
        <w:tc>
          <w:tcPr>
            <w:tcW w:type="dxa" w:w="2340"/>
          </w:tcPr>
          <w:p>
            <w:pPr>
              <w:keepLines w:val="1"/>
              <w:keepNext w:val="1"/>
            </w:pPr>
            <w:r>
              <w:t>204, 0, 0</w:t>
            </w:r>
          </w:p>
        </w:tc>
      </w:tr>
      <w:tr>
        <w:trPr>
          <w:cantSplit w:val="1"/>
        </w:trPr>
        <w:tc>
          <w:tcPr>
            <w:tcW w:type="dxa" w:w="2340"/>
          </w:tcPr>
          <w:p>
            <w:pPr>
              <w:keepLines w:val="1"/>
              <w:keepNext w:val="1"/>
            </w:pPr>
            <w:r>
              <w:t>Advertencia</w:t>
            </w:r>
          </w:p>
        </w:tc>
        <w:tc>
          <w:tcPr>
            <w:tcW w:type="dxa" w:w="2340"/>
          </w:tcPr>
          <w:p>
            <w:pPr>
              <w:keepLines w:val="1"/>
              <w:keepNext w:val="1"/>
            </w:pPr>
            <w:r>
              <w:t>Naranja gestión de riesgos</w:t>
            </w:r>
          </w:p>
        </w:tc>
        <w:tc>
          <w:tcPr>
            <w:tcW w:type="dxa" w:w="2340"/>
          </w:tcPr>
          <w:p>
            <w:pPr>
              <w:keepLines w:val="1"/>
              <w:keepNext w:val="1"/>
            </w:pPr>
            <w:r>
              <w:t>#FF6600</w:t>
            </w:r>
          </w:p>
        </w:tc>
        <w:tc>
          <w:tcPr>
            <w:tcW w:type="dxa" w:w="2340"/>
          </w:tcPr>
          <w:p>
            <w:pPr>
              <w:keepLines w:val="1"/>
              <w:keepNext w:val="1"/>
            </w:pPr>
            <w:r>
              <w:t>255, 102, 0</w:t>
            </w:r>
          </w:p>
        </w:tc>
      </w:tr>
      <w:tr>
        <w:trPr>
          <w:cantSplit w:val="1"/>
        </w:trPr>
        <w:tc>
          <w:tcPr>
            <w:tcW w:type="dxa" w:w="2340"/>
          </w:tcPr>
          <w:p>
            <w:pPr>
              <w:keepLines w:val="1"/>
              <w:keepNext w:val="1"/>
            </w:pPr>
            <w:r>
              <w:t>Positivo / OK</w:t>
            </w:r>
          </w:p>
        </w:tc>
        <w:tc>
          <w:tcPr>
            <w:tcW w:type="dxa" w:w="2340"/>
          </w:tcPr>
          <w:p>
            <w:pPr>
              <w:keepLines w:val="1"/>
              <w:keepNext w:val="1"/>
            </w:pPr>
            <w:r>
              <w:t>Verde madurez</w:t>
            </w:r>
          </w:p>
        </w:tc>
        <w:tc>
          <w:tcPr>
            <w:tcW w:type="dxa" w:w="2340"/>
          </w:tcPr>
          <w:p>
            <w:pPr>
              <w:keepLines w:val="1"/>
              <w:keepNext w:val="1"/>
            </w:pPr>
            <w:r>
              <w:t>#008000</w:t>
            </w:r>
          </w:p>
        </w:tc>
        <w:tc>
          <w:tcPr>
            <w:tcW w:type="dxa" w:w="2340"/>
          </w:tcPr>
          <w:p>
            <w:pPr>
              <w:keepLines w:val="1"/>
              <w:keepNext w:val="1"/>
            </w:pPr>
            <w:r>
              <w:t>0, 128, 0</w:t>
            </w:r>
          </w:p>
        </w:tc>
      </w:tr>
      <w:tr>
        <w:trPr>
          <w:cantSplit w:val="1"/>
        </w:trPr>
        <w:tc>
          <w:tcPr>
            <w:tcW w:type="dxa" w:w="2340"/>
          </w:tcPr>
          <w:p>
            <w:pPr>
              <w:keepLines w:val="1"/>
              <w:keepNext w:val="1"/>
            </w:pPr>
            <w:r>
              <w:t>Neutro / datos</w:t>
            </w:r>
          </w:p>
        </w:tc>
        <w:tc>
          <w:tcPr>
            <w:tcW w:type="dxa" w:w="2340"/>
          </w:tcPr>
          <w:p>
            <w:pPr>
              <w:keepLines w:val="1"/>
              <w:keepNext w:val="1"/>
            </w:pPr>
            <w:r>
              <w:t>Gris institucional</w:t>
            </w:r>
          </w:p>
        </w:tc>
        <w:tc>
          <w:tcPr>
            <w:tcW w:type="dxa" w:w="2340"/>
          </w:tcPr>
          <w:p>
            <w:pPr>
              <w:keepLines w:val="1"/>
              <w:keepNext w:val="1"/>
            </w:pPr>
            <w:r>
              <w:t>#666666</w:t>
            </w:r>
          </w:p>
        </w:tc>
        <w:tc>
          <w:tcPr>
            <w:tcW w:type="dxa" w:w="2340"/>
          </w:tcPr>
          <w:p>
            <w:pPr>
              <w:keepLines w:val="1"/>
              <w:keepNext w:val="1"/>
            </w:pPr>
            <w:r>
              <w:t>102, 102, 102</w:t>
            </w:r>
          </w:p>
        </w:tc>
      </w:tr>
      <w:tr>
        <w:trPr>
          <w:cantSplit w:val="1"/>
        </w:trPr>
        <w:tc>
          <w:tcPr>
            <w:tcW w:type="dxa" w:w="2340"/>
          </w:tcPr>
          <w:p>
            <w:pPr>
              <w:keepLines w:val="1"/>
            </w:pPr>
            <w:r>
              <w:t>Fondo secciones</w:t>
            </w:r>
          </w:p>
        </w:tc>
        <w:tc>
          <w:tcPr>
            <w:tcW w:type="dxa" w:w="2340"/>
          </w:tcPr>
          <w:p>
            <w:pPr>
              <w:keepLines w:val="1"/>
            </w:pPr>
            <w:r>
              <w:t>Azul muy claro</w:t>
            </w:r>
          </w:p>
        </w:tc>
        <w:tc>
          <w:tcPr>
            <w:tcW w:type="dxa" w:w="2340"/>
          </w:tcPr>
          <w:p>
            <w:pPr>
              <w:keepLines w:val="1"/>
            </w:pPr>
            <w:r>
              <w:t>#E8F0F8</w:t>
            </w:r>
          </w:p>
        </w:tc>
        <w:tc>
          <w:tcPr>
            <w:tcW w:type="dxa" w:w="2340"/>
          </w:tcPr>
          <w:p>
            <w:pPr>
              <w:keepLines w:val="1"/>
            </w:pPr>
            <w:r>
              <w:t>232, 240, 248</w:t>
            </w:r>
          </w:p>
        </w:tc>
      </w:tr>
    </w:tbl>
    <w:p/>
    <w:p>
      <w:pPr>
        <w:pStyle w:val="Heading2"/>
        <w:keepNext/>
        <w:keepLines/>
      </w:pPr>
      <w:r>
        <w:rPr>
          <w:color w:val="0066CC"/>
        </w:rPr>
        <w:t>TIPOGRAFÍA</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Elemento</w:t>
            </w:r>
          </w:p>
        </w:tc>
        <w:tc>
          <w:tcPr>
            <w:tcW w:type="dxa" w:w="2340"/>
            <w:shd w:fill="0033CC"/>
          </w:tcPr>
          <w:p>
            <w:pPr>
              <w:keepLines w:val="1"/>
              <w:keepNext w:val="1"/>
            </w:pPr>
            <w:r>
              <w:rPr>
                <w:b/>
                <w:color w:val="FFFFFF"/>
              </w:rPr>
              <w:t>Fuente</w:t>
            </w:r>
          </w:p>
        </w:tc>
        <w:tc>
          <w:tcPr>
            <w:tcW w:type="dxa" w:w="2340"/>
            <w:shd w:fill="0033CC"/>
          </w:tcPr>
          <w:p>
            <w:pPr>
              <w:keepLines w:val="1"/>
              <w:keepNext w:val="1"/>
            </w:pPr>
            <w:r>
              <w:rPr>
                <w:b/>
                <w:color w:val="FFFFFF"/>
              </w:rPr>
              <w:t>Tamaño</w:t>
            </w:r>
          </w:p>
        </w:tc>
        <w:tc>
          <w:tcPr>
            <w:tcW w:type="dxa" w:w="2340"/>
            <w:shd w:fill="0033CC"/>
          </w:tcPr>
          <w:p>
            <w:pPr>
              <w:keepLines w:val="1"/>
              <w:keepNext w:val="1"/>
            </w:pPr>
            <w:r>
              <w:rPr>
                <w:b/>
                <w:color w:val="FFFFFF"/>
              </w:rPr>
              <w:t>Peso</w:t>
            </w:r>
          </w:p>
        </w:tc>
      </w:tr>
      <w:tr>
        <w:trPr>
          <w:cantSplit w:val="1"/>
        </w:trPr>
        <w:tc>
          <w:tcPr>
            <w:tcW w:type="dxa" w:w="2340"/>
          </w:tcPr>
          <w:p>
            <w:pPr>
              <w:keepLines w:val="1"/>
              <w:keepNext w:val="1"/>
            </w:pPr>
            <w:r>
              <w:t>Título de diapositiva</w:t>
            </w:r>
          </w:p>
        </w:tc>
        <w:tc>
          <w:tcPr>
            <w:tcW w:type="dxa" w:w="2340"/>
          </w:tcPr>
          <w:p>
            <w:pPr>
              <w:keepLines w:val="1"/>
              <w:keepNext w:val="1"/>
            </w:pPr>
            <w:r>
              <w:t>Calibri</w:t>
            </w:r>
          </w:p>
        </w:tc>
        <w:tc>
          <w:tcPr>
            <w:tcW w:type="dxa" w:w="2340"/>
          </w:tcPr>
          <w:p>
            <w:pPr>
              <w:keepLines w:val="1"/>
              <w:keepNext w:val="1"/>
            </w:pPr>
            <w:r>
              <w:t>32 pt</w:t>
            </w:r>
          </w:p>
        </w:tc>
        <w:tc>
          <w:tcPr>
            <w:tcW w:type="dxa" w:w="2340"/>
          </w:tcPr>
          <w:p>
            <w:pPr>
              <w:keepLines w:val="1"/>
              <w:keepNext w:val="1"/>
            </w:pPr>
            <w:r>
              <w:t>Bold</w:t>
            </w:r>
          </w:p>
        </w:tc>
      </w:tr>
      <w:tr>
        <w:trPr>
          <w:cantSplit w:val="1"/>
        </w:trPr>
        <w:tc>
          <w:tcPr>
            <w:tcW w:type="dxa" w:w="2340"/>
          </w:tcPr>
          <w:p>
            <w:pPr>
              <w:keepLines w:val="1"/>
              <w:keepNext w:val="1"/>
            </w:pPr>
            <w:r>
              <w:t>Subtítulo</w:t>
            </w:r>
          </w:p>
        </w:tc>
        <w:tc>
          <w:tcPr>
            <w:tcW w:type="dxa" w:w="2340"/>
          </w:tcPr>
          <w:p>
            <w:pPr>
              <w:keepLines w:val="1"/>
              <w:keepNext w:val="1"/>
            </w:pPr>
            <w:r>
              <w:t>Calibri</w:t>
            </w:r>
          </w:p>
        </w:tc>
        <w:tc>
          <w:tcPr>
            <w:tcW w:type="dxa" w:w="2340"/>
          </w:tcPr>
          <w:p>
            <w:pPr>
              <w:keepLines w:val="1"/>
              <w:keepNext w:val="1"/>
            </w:pPr>
            <w:r>
              <w:t>22 pt</w:t>
            </w:r>
          </w:p>
        </w:tc>
        <w:tc>
          <w:tcPr>
            <w:tcW w:type="dxa" w:w="2340"/>
          </w:tcPr>
          <w:p>
            <w:pPr>
              <w:keepLines w:val="1"/>
              <w:keepNext w:val="1"/>
            </w:pPr>
            <w:r>
              <w:t>Regular</w:t>
            </w:r>
          </w:p>
        </w:tc>
      </w:tr>
      <w:tr>
        <w:trPr>
          <w:cantSplit w:val="1"/>
        </w:trPr>
        <w:tc>
          <w:tcPr>
            <w:tcW w:type="dxa" w:w="2340"/>
          </w:tcPr>
          <w:p>
            <w:pPr>
              <w:keepLines w:val="1"/>
              <w:keepNext w:val="1"/>
            </w:pPr>
            <w:r>
              <w:t>Texto de cuerpo</w:t>
            </w:r>
          </w:p>
        </w:tc>
        <w:tc>
          <w:tcPr>
            <w:tcW w:type="dxa" w:w="2340"/>
          </w:tcPr>
          <w:p>
            <w:pPr>
              <w:keepLines w:val="1"/>
              <w:keepNext w:val="1"/>
            </w:pPr>
            <w:r>
              <w:t>Calibri</w:t>
            </w:r>
          </w:p>
        </w:tc>
        <w:tc>
          <w:tcPr>
            <w:tcW w:type="dxa" w:w="2340"/>
          </w:tcPr>
          <w:p>
            <w:pPr>
              <w:keepLines w:val="1"/>
              <w:keepNext w:val="1"/>
            </w:pPr>
            <w:r>
              <w:t>18 pt</w:t>
            </w:r>
          </w:p>
        </w:tc>
        <w:tc>
          <w:tcPr>
            <w:tcW w:type="dxa" w:w="2340"/>
          </w:tcPr>
          <w:p>
            <w:pPr>
              <w:keepLines w:val="1"/>
              <w:keepNext w:val="1"/>
            </w:pPr>
            <w:r>
              <w:t>Regular</w:t>
            </w:r>
          </w:p>
        </w:tc>
      </w:tr>
      <w:tr>
        <w:trPr>
          <w:cantSplit w:val="1"/>
        </w:trPr>
        <w:tc>
          <w:tcPr>
            <w:tcW w:type="dxa" w:w="2340"/>
          </w:tcPr>
          <w:p>
            <w:pPr>
              <w:keepLines w:val="1"/>
              <w:keepNext w:val="1"/>
            </w:pPr>
            <w:r>
              <w:t>Notas para el ponente</w:t>
            </w:r>
          </w:p>
        </w:tc>
        <w:tc>
          <w:tcPr>
            <w:tcW w:type="dxa" w:w="2340"/>
          </w:tcPr>
          <w:p>
            <w:pPr>
              <w:keepLines w:val="1"/>
              <w:keepNext w:val="1"/>
            </w:pPr>
            <w:r>
              <w:t>Calibri</w:t>
            </w:r>
          </w:p>
        </w:tc>
        <w:tc>
          <w:tcPr>
            <w:tcW w:type="dxa" w:w="2340"/>
          </w:tcPr>
          <w:p>
            <w:pPr>
              <w:keepLines w:val="1"/>
              <w:keepNext w:val="1"/>
            </w:pPr>
            <w:r>
              <w:t>12 pt</w:t>
            </w:r>
          </w:p>
        </w:tc>
        <w:tc>
          <w:tcPr>
            <w:tcW w:type="dxa" w:w="2340"/>
          </w:tcPr>
          <w:p>
            <w:pPr>
              <w:keepLines w:val="1"/>
              <w:keepNext w:val="1"/>
            </w:pPr>
            <w:r>
              <w:t>Regular</w:t>
            </w:r>
          </w:p>
        </w:tc>
      </w:tr>
      <w:tr>
        <w:trPr>
          <w:cantSplit w:val="1"/>
        </w:trPr>
        <w:tc>
          <w:tcPr>
            <w:tcW w:type="dxa" w:w="2340"/>
          </w:tcPr>
          <w:p>
            <w:pPr>
              <w:keepLines w:val="1"/>
              <w:keepNext w:val="1"/>
            </w:pPr>
            <w:r>
              <w:t>Etiquetas de gráficas</w:t>
            </w:r>
          </w:p>
        </w:tc>
        <w:tc>
          <w:tcPr>
            <w:tcW w:type="dxa" w:w="2340"/>
          </w:tcPr>
          <w:p>
            <w:pPr>
              <w:keepLines w:val="1"/>
              <w:keepNext w:val="1"/>
            </w:pPr>
            <w:r>
              <w:t>Calibri</w:t>
            </w:r>
          </w:p>
        </w:tc>
        <w:tc>
          <w:tcPr>
            <w:tcW w:type="dxa" w:w="2340"/>
          </w:tcPr>
          <w:p>
            <w:pPr>
              <w:keepLines w:val="1"/>
              <w:keepNext w:val="1"/>
            </w:pPr>
            <w:r>
              <w:t>14 pt</w:t>
            </w:r>
          </w:p>
        </w:tc>
        <w:tc>
          <w:tcPr>
            <w:tcW w:type="dxa" w:w="2340"/>
          </w:tcPr>
          <w:p>
            <w:pPr>
              <w:keepLines w:val="1"/>
              <w:keepNext w:val="1"/>
            </w:pPr>
            <w:r>
              <w:t>Regular</w:t>
            </w:r>
          </w:p>
        </w:tc>
      </w:tr>
      <w:tr>
        <w:trPr>
          <w:cantSplit w:val="1"/>
        </w:trPr>
        <w:tc>
          <w:tcPr>
            <w:tcW w:type="dxa" w:w="2340"/>
          </w:tcPr>
          <w:p>
            <w:pPr>
              <w:keepLines w:val="1"/>
            </w:pPr>
            <w:r>
              <w:t>Leyendas de figura</w:t>
            </w:r>
          </w:p>
        </w:tc>
        <w:tc>
          <w:tcPr>
            <w:tcW w:type="dxa" w:w="2340"/>
          </w:tcPr>
          <w:p>
            <w:pPr>
              <w:keepLines w:val="1"/>
            </w:pPr>
            <w:r>
              <w:t>Calibri</w:t>
            </w:r>
          </w:p>
        </w:tc>
        <w:tc>
          <w:tcPr>
            <w:tcW w:type="dxa" w:w="2340"/>
          </w:tcPr>
          <w:p>
            <w:pPr>
              <w:keepLines w:val="1"/>
            </w:pPr>
            <w:r>
              <w:t>11 pt</w:t>
            </w:r>
          </w:p>
        </w:tc>
        <w:tc>
          <w:tcPr>
            <w:tcW w:type="dxa" w:w="2340"/>
          </w:tcPr>
          <w:p>
            <w:pPr>
              <w:keepLines w:val="1"/>
            </w:pPr>
            <w:r>
              <w:t>Italic</w:t>
            </w:r>
          </w:p>
        </w:tc>
      </w:tr>
    </w:tbl>
    <w:p/>
    <w:p>
      <w:pPr>
        <w:pStyle w:val="Heading2"/>
        <w:keepNext/>
        <w:keepLines/>
      </w:pPr>
      <w:r>
        <w:rPr>
          <w:color w:val="0066CC"/>
        </w:rPr>
        <w:t>ESTRUCTURA COMPLETA DE DIAPOSITIVAS</w:t>
      </w:r>
    </w:p>
    <w:p>
      <w:pPr>
        <w:pStyle w:val="Heading3"/>
        <w:keepNext/>
        <w:keepLines/>
      </w:pPr>
      <w:r>
        <w:t>DIAPOSITIVA 01 — PORTADA</w:t>
      </w:r>
    </w:p>
    <w:p>
      <w:r>
        <w:rPr>
          <w:b/>
        </w:rPr>
        <w:t>Layout:</w:t>
      </w:r>
      <w:r>
        <w:t xml:space="preserve"> Fondo azul CAPEC con overlay geométrico</w:t>
      </w:r>
      <w:r/>
      <w:r>
        <w:br/>
      </w:r>
      <w:r>
        <w:rPr>
          <w:b/>
        </w:rPr>
        <w:t>Contenido:</w:t>
      </w:r>
      <w:r/>
      <w:r>
        <w:br/>
        <w:t>- Logo de la organización (posición superior derecha)</w:t>
      </w:r>
      <w:r/>
      <w:r>
        <w:br/>
        <w:t>- Título principal: "</w:t>
      </w:r>
      <w:r>
        <w:rPr>
          <w:b/>
        </w:rPr>
        <w:t>Estado de Madurez CAPEC en [Nombre Organización]</w:t>
      </w:r>
      <w:r>
        <w:t>"</w:t>
      </w:r>
      <w:r/>
      <w:r>
        <w:br/>
        <w:t>- Subtítulo: "Índice Global de Madurez CAPEC-ESP · Informe Ejecutivo 2026"</w:t>
      </w:r>
      <w:r/>
      <w:r>
        <w:br/>
        <w:t xml:space="preserve">- Número de IGM-CAPEC resaltado en grande: </w:t>
      </w:r>
      <w:r>
        <w:rPr>
          <w:b/>
        </w:rPr>
        <w:t>[X.XX / 5.00]</w:t>
      </w:r>
      <w:r>
        <w:t xml:space="preserve"> con barra de color</w:t>
      </w:r>
      <w:r/>
      <w:r>
        <w:br/>
        <w:t xml:space="preserve">- Nivel de madurez: </w:t>
      </w:r>
      <w:r>
        <w:rPr>
          <w:b/>
        </w:rPr>
        <w:t>"NIVEL [N] — [ETIQUETA]"</w:t>
      </w:r>
      <w:r/>
      <w:r>
        <w:br/>
        <w:t>- Fecha: Abril 2026</w:t>
      </w:r>
      <w:r/>
      <w:r>
        <w:br/>
        <w:t>- "CONFIDENCIAL" en marca de agua</w:t>
      </w:r>
    </w:p>
    <w:p>
      <w:r>
        <w:rPr>
          <w:b/>
        </w:rPr>
        <w:t>Nota para ponente:</w:t>
      </w:r>
      <w:r>
        <w:t xml:space="preserve"> </w:t>
      </w:r>
      <w:r>
        <w:rPr>
          <w:i/>
        </w:rPr>
        <w:t>Comenzar con el número. El IGM-CAPEC es el headline. Si la audiencia retiene un solo dato de esta presentación, que sea ese.</w:t>
      </w:r>
    </w:p>
    <w:p>
      <w:pPr>
        <w:pStyle w:val="Heading3"/>
        <w:keepNext/>
        <w:keepLines/>
      </w:pPr>
      <w:r>
        <w:t>DIAPOSITIVA 02 — AGENDA</w:t>
      </w:r>
    </w:p>
    <w:p>
      <w:r>
        <w:rPr>
          <w:b/>
        </w:rPr>
        <w:t>Layout:</w:t>
      </w:r>
      <w:r>
        <w:t xml:space="preserve"> Lista con iconos sectoriales</w:t>
      </w:r>
      <w:r/>
      <w:r>
        <w:br/>
      </w:r>
      <w:r>
        <w:rPr>
          <w:b/>
        </w:rPr>
        <w:t>Contenido:</w:t>
      </w:r>
      <w:r/>
      <w:r>
        <w:br/>
        <w:t>1. Contexto regulatorio y de amenazas (2 min)</w:t>
      </w:r>
      <w:r/>
      <w:r>
        <w:br/>
        <w:t>2. Metodología y alcance del estudio (2 min)</w:t>
      </w:r>
      <w:r/>
      <w:r>
        <w:br/>
        <w:t>3. Resultados: IGM-CAPEC y sub-índices (8 min)</w:t>
      </w:r>
      <w:r/>
      <w:r>
        <w:br/>
        <w:t>4. Análisis por dominio de ataque (5 min)</w:t>
      </w:r>
      <w:r/>
      <w:r>
        <w:br/>
        <w:t>5. Amenazas emergentes: brechas detectadas (5 min)</w:t>
      </w:r>
      <w:r/>
      <w:r>
        <w:br/>
        <w:t>6. Posición comparativa sectorial (3 min)</w:t>
      </w:r>
      <w:r/>
      <w:r>
        <w:br/>
        <w:t>7. Plan de acción priorizado (5 min)</w:t>
      </w:r>
      <w:r/>
      <w:r>
        <w:br/>
        <w:t>8. Preguntas y discusión</w:t>
      </w:r>
    </w:p>
    <w:p>
      <w:pPr>
        <w:pStyle w:val="Heading3"/>
        <w:keepNext/>
        <w:keepLines/>
      </w:pPr>
      <w:r>
        <w:t>DIAPOSITIVA 03 — CONTEXTO: EL PANORAMA DE AMENAZAS 2025</w:t>
      </w:r>
    </w:p>
    <w:p>
      <w:r>
        <w:rPr>
          <w:b/>
        </w:rPr>
        <w:t>Layout:</w:t>
      </w:r>
      <w:r>
        <w:t xml:space="preserve"> Split 50/50 con datos y titular</w:t>
      </w:r>
      <w:r/>
      <w:r>
        <w:br/>
      </w:r>
      <w:r>
        <w:rPr>
          <w:b/>
        </w:rPr>
        <w:t>Lado izquierdo (datos):</w:t>
      </w:r>
      <w:r/>
      <w:r>
        <w:br/>
        <w:t>- 122.223 incidentes en España (2025, INCIBE, +26%)</w:t>
      </w:r>
      <w:r/>
      <w:r>
        <w:br/>
        <w:t>- 4.ª posición en objetivos gubernamentales europeos (ENISA)</w:t>
      </w:r>
      <w:r/>
      <w:r>
        <w:br/>
        <w:t>- +1.265% en phishing generado con IA (2024)</w:t>
      </w:r>
      <w:r/>
      <w:r>
        <w:br/>
        <w:t>- ×2 incidentes de cadena de suministro de software (2025)</w:t>
      </w:r>
    </w:p>
    <w:p>
      <w:r>
        <w:rPr>
          <w:b/>
        </w:rPr>
        <w:t>Lado derecho (visual):</w:t>
      </w:r>
      <w:r/>
      <w:r>
        <w:br/>
        <w:t>- Mapa de Europa con intensidad de amenaza por país</w:t>
      </w:r>
      <w:r/>
      <w:r>
        <w:br/>
        <w:t>- Leyenda: "España — Alta exposición"</w:t>
      </w:r>
    </w:p>
    <w:p>
      <w:r>
        <w:rPr>
          <w:b/>
        </w:rPr>
        <w:t>Mensaje clave (destacado):</w:t>
      </w:r>
      <w:r>
        <w:t xml:space="preserve"> </w:t>
      </w:r>
      <w:r>
        <w:rPr>
          <w:i/>
        </w:rPr>
        <w:t>"El adversario ha acelerado. La pregunta es: ¿hemos acelerado nosotros al mismo ritmo?"</w:t>
      </w:r>
    </w:p>
    <w:p>
      <w:r>
        <w:rPr>
          <w:b/>
        </w:rPr>
        <w:t>Nota para ponente:</w:t>
      </w:r>
      <w:r>
        <w:t xml:space="preserve"> </w:t>
      </w:r>
      <w:r>
        <w:rPr>
          <w:i/>
        </w:rPr>
        <w:t>Calibrar la reacción de la audiencia. Si no conocían estas cifras, el resto de la presentación encontrará terreno abonado. Si ya las conocen, esta diapositiva valida el nivel de la audiencia y permite avanzar rápido.</w:t>
      </w:r>
    </w:p>
    <w:p>
      <w:pPr>
        <w:pStyle w:val="Heading3"/>
        <w:keepNext/>
        <w:keepLines/>
      </w:pPr>
      <w:r>
        <w:t>DIAPOSITIVA 04 — CONTEXTO: EL ECOSISTEMA REGULATORIO</w:t>
      </w:r>
    </w:p>
    <w:p>
      <w:r>
        <w:rPr>
          <w:b/>
        </w:rPr>
        <w:t>Layout:</w:t>
      </w:r>
      <w:r>
        <w:t xml:space="preserve"> Diagrama de timeline con hitos regulatorios</w:t>
      </w:r>
      <w:r/>
      <w:r>
        <w:br/>
      </w:r>
      <w:r>
        <w:rPr>
          <w:b/>
        </w:rPr>
        <w:t>Contenido:</w:t>
      </w:r>
      <w:r/>
      <w:r>
        <w:br/>
        <w:t>- Timeline: NIS2 vigente → Transposición española LCyGC → ENS RD 311/2022 → DORA en vigor (Ene 2025) → CNC anunciado (Oct 2025)</w:t>
      </w:r>
      <w:r/>
      <w:r>
        <w:br/>
        <w:t>- Cuadro de obligaciones: Art. 21.2 NIS2 en forma de checklist visual</w:t>
      </w:r>
      <w:r/>
      <w:r>
        <w:br/>
        <w:t>- Cuadro de sanciones: NIS2 (hasta 2% facturación global) vs. DORA (variable)</w:t>
      </w:r>
    </w:p>
    <w:p>
      <w:r>
        <w:rPr>
          <w:b/>
        </w:rPr>
        <w:t>Mensaje clave:</w:t>
      </w:r>
      <w:r>
        <w:t xml:space="preserve"> </w:t>
      </w:r>
      <w:r>
        <w:rPr>
          <w:i/>
        </w:rPr>
        <w:t>"El regulador ha pasado de murmurar a gritar. Y CAPEC es la taxonomía que da contenido técnico a cada uno de los requisitos que NIS2 exige."</w:t>
      </w:r>
    </w:p>
    <w:p>
      <w:pPr>
        <w:pStyle w:val="Heading3"/>
        <w:keepNext/>
        <w:keepLines/>
      </w:pPr>
      <w:r>
        <w:t>DIAPOSITIVA 05 — QUÉ ES CAPEC Y POR QUÉ LO MEDIMOS</w:t>
      </w:r>
    </w:p>
    <w:p>
      <w:r>
        <w:rPr>
          <w:b/>
        </w:rPr>
        <w:t>Layout:</w:t>
      </w:r>
      <w:r>
        <w:t xml:space="preserve"> Definición + comparativa visual ATT&amp;CK vs. CAPEC</w:t>
      </w:r>
      <w:r/>
      <w:r>
        <w:br/>
      </w:r>
      <w:r>
        <w:rPr>
          <w:b/>
        </w:rPr>
        <w:t>Contenido:</w:t>
      </w:r>
      <w:r/>
      <w:r>
        <w:br/>
        <w:t xml:space="preserve">- Definición en una línea: </w:t>
      </w:r>
      <w:r>
        <w:rPr>
          <w:i/>
        </w:rPr>
        <w:t>"El catálogo de los patrones que los adversarios repiten. No los atacantes concretos, sino sus métodos recurrentes."</w:t>
      </w:r>
      <w:r/>
      <w:r>
        <w:br/>
        <w:t>- Tabla de 2×2:</w:t>
      </w:r>
      <w:r/>
      <w:r>
        <w:br/>
        <w:t xml:space="preserve">  | | Quién ataca | Cómo ataca |</w:t>
      </w:r>
      <w:r/>
      <w:r>
        <w:br/>
        <w:t xml:space="preserve">  |---|---|---|</w:t>
      </w:r>
      <w:r/>
      <w:r>
        <w:br/>
        <w:t xml:space="preserve">  | Ataque pasado | Threat Intel / OSINT | </w:t>
      </w:r>
      <w:r>
        <w:rPr>
          <w:b/>
        </w:rPr>
        <w:t>ATT&amp;CK</w:t>
      </w:r>
      <w:r>
        <w:t xml:space="preserve"> |</w:t>
      </w:r>
      <w:r/>
      <w:r>
        <w:br/>
        <w:t xml:space="preserve">  | Ataque futuro | No predecible | </w:t>
      </w:r>
      <w:r>
        <w:rPr>
          <w:b/>
        </w:rPr>
        <w:t>CAPEC</w:t>
      </w:r>
      <w:r>
        <w:t xml:space="preserve"> |</w:t>
      </w:r>
      <w:r/>
      <w:r>
        <w:br/>
        <w:t>- CAPEC v3.9: 559 patrones, 9 mecanismos, 6 dominios</w:t>
      </w:r>
    </w:p>
    <w:p>
      <w:pPr>
        <w:pStyle w:val="Heading3"/>
        <w:keepNext/>
        <w:keepLines/>
      </w:pPr>
      <w:r>
        <w:t>DIAPOSITIVA 06 — METODOLOGÍA DEL ESTUDIO</w:t>
      </w:r>
    </w:p>
    <w:p>
      <w:r>
        <w:rPr>
          <w:b/>
        </w:rPr>
        <w:t>Layout:</w:t>
      </w:r>
      <w:r>
        <w:t xml:space="preserve"> Infografía de proceso en 4 fases</w:t>
      </w:r>
      <w:r/>
      <w:r>
        <w:br/>
      </w:r>
      <w:r>
        <w:rPr>
          <w:b/>
        </w:rPr>
        <w:t>Contenido:</w:t>
      </w:r>
      <w:r/>
      <w:r>
        <w:br/>
        <w:t>- Fase 1: Instrumento — 50 preguntas, 11 secciones, validación GQM + panel expertos</w:t>
      </w:r>
      <w:r/>
      <w:r>
        <w:br/>
        <w:t>- Fase 2: Muestra — n=400 organizaciones, estratificado por sector y tamaño</w:t>
      </w:r>
      <w:r/>
      <w:r>
        <w:br/>
        <w:t>- Fase 3: Análisis — AFC, Alpha Cronbach, regresión múltiple, clustering</w:t>
      </w:r>
      <w:r/>
      <w:r>
        <w:br/>
        <w:t>- Fase 4: Output — IGM-CAPEC, benchmarks sectoriales, recomendaciones de política</w:t>
      </w:r>
    </w:p>
    <w:p>
      <w:pPr>
        <w:pStyle w:val="Heading3"/>
        <w:keepNext/>
        <w:keepLines/>
      </w:pPr>
      <w:r>
        <w:t>DIAPOSITIVA 07 — EL IGM-CAPEC: ARQUITECTURA DEL ÍNDICE</w:t>
      </w:r>
    </w:p>
    <w:p>
      <w:r>
        <w:rPr>
          <w:b/>
        </w:rPr>
        <w:t>Layout:</w:t>
      </w:r>
      <w:r>
        <w:t xml:space="preserve"> Diagrama circular con los 5 sub-índices y pesos</w:t>
      </w:r>
      <w:r/>
      <w:r>
        <w:br/>
      </w:r>
      <w:r>
        <w:rPr>
          <w:b/>
        </w:rPr>
        <w:t>Contenido:</w:t>
      </w:r>
      <w:r/>
      <w:r>
        <w:br/>
        <w:t>- Diagrama: IGM-CAPEC en el centro</w:t>
      </w:r>
      <w:r/>
      <w:r>
        <w:br/>
        <w:t>- 5 segmentos con sus pesos:</w:t>
      </w:r>
      <w:r/>
      <w:r>
        <w:br/>
        <w:t xml:space="preserve">  - IGC: 25% — Gestión del Conocimiento</w:t>
      </w:r>
      <w:r/>
      <w:r>
        <w:br/>
        <w:t xml:space="preserve">  - ICM: 20% — Cobertura de Métricas</w:t>
      </w:r>
      <w:r/>
      <w:r>
        <w:br/>
        <w:t xml:space="preserve">  - IAR: 20% — Alineación Regulatoria</w:t>
      </w:r>
      <w:r/>
      <w:r>
        <w:br/>
        <w:t xml:space="preserve">  - IRD: 20% — Resiliencia Digital</w:t>
      </w:r>
      <w:r/>
      <w:r>
        <w:br/>
        <w:t xml:space="preserve">  - IBE: 15% — Brecha Emergente</w:t>
      </w:r>
      <w:r/>
      <w:r>
        <w:br/>
        <w:t xml:space="preserve">- Fórmula visible: </w:t>
      </w:r>
      <w:r>
        <w:rPr>
          <w:rFonts w:ascii="Courier New" w:hAnsi="Courier New"/>
          <w:sz w:val="18"/>
        </w:rPr>
        <w:t>IGM = 0,25·IGC + 0,20·ICM + 0,20·IAR + 0,20·IRD + 0,15·IBE</w:t>
      </w:r>
    </w:p>
    <w:p>
      <w:pPr>
        <w:pStyle w:val="Heading3"/>
        <w:keepNext/>
        <w:keepLines/>
      </w:pPr>
      <w:r>
        <w:t>DIAPOSITIVA 08 — RESULTADOS: IGM-CAPEC GLOBAL [ORGANIZACIÓN]</w:t>
      </w:r>
    </w:p>
    <w:p>
      <w:r>
        <w:rPr>
          <w:b/>
        </w:rPr>
        <w:t>Layout:</w:t>
      </w:r>
      <w:r>
        <w:t xml:space="preserve"> Dashboard de una sola métrica, impacto visual máximo</w:t>
      </w:r>
      <w:r/>
      <w:r>
        <w:br/>
      </w:r>
      <w:r>
        <w:rPr>
          <w:b/>
        </w:rPr>
        <w:t>Contenido:</w:t>
      </w:r>
      <w:r/>
      <w:r>
        <w:br/>
        <w:t xml:space="preserve">- Gauge/dial central con el valor IGM-CAPEC: </w:t>
      </w:r>
      <w:r>
        <w:rPr>
          <w:b/>
        </w:rPr>
        <w:t>[0.XX]</w:t>
      </w:r>
      <w:r/>
      <w:r>
        <w:br/>
        <w:t>- Escala de colores del dial: rojo (0–0.40) → naranja (0.40–0.60) → verde (0.60–1.00)</w:t>
      </w:r>
      <w:r/>
      <w:r>
        <w:br/>
        <w:t>- Indicador de posición: "Nivel [N] de 5: [ETIQUETA]"</w:t>
      </w:r>
      <w:r/>
      <w:r>
        <w:br/>
        <w:t>- Comparativa:</w:t>
      </w:r>
      <w:r/>
      <w:r>
        <w:br/>
        <w:t xml:space="preserve">  - vs. Media del sector: </w:t>
      </w:r>
      <w:r>
        <w:rPr>
          <w:b/>
        </w:rPr>
        <w:t>[diferencia +/-]</w:t>
      </w:r>
      <w:r/>
      <w:r>
        <w:br/>
        <w:t xml:space="preserve">  - vs. Benchmark europeo: </w:t>
      </w:r>
      <w:r>
        <w:rPr>
          <w:b/>
        </w:rPr>
        <w:t>[referencia ENISA/sectorial]</w:t>
      </w:r>
      <w:r/>
      <w:r>
        <w:br/>
        <w:t xml:space="preserve">  - vs. Objetivo 12 meses: </w:t>
      </w:r>
      <w:r>
        <w:rPr>
          <w:b/>
        </w:rPr>
        <w:t>[gap a cubrir]</w:t>
      </w:r>
    </w:p>
    <w:p>
      <w:r>
        <w:rPr>
          <w:b/>
        </w:rPr>
        <w:t>Nota:</w:t>
      </w:r>
      <w:r>
        <w:t xml:space="preserve"> </w:t>
      </w:r>
      <w:r>
        <w:rPr>
          <w:i/>
        </w:rPr>
        <w:t>Esta diapositiva debe verse desde 5 metros de distancia. Si el número no se lee, la diapositiva ha fallado.</w:t>
      </w:r>
    </w:p>
    <w:p>
      <w:pPr>
        <w:pStyle w:val="Heading3"/>
        <w:keepNext/>
        <w:keepLines/>
      </w:pPr>
      <w:r>
        <w:t>DIAPOSITIVA 09 — RESULTADOS: LOS 5 SUB-ÍNDICES</w:t>
      </w:r>
    </w:p>
    <w:p>
      <w:r>
        <w:rPr>
          <w:b/>
        </w:rPr>
        <w:t>Layout:</w:t>
      </w:r>
      <w:r>
        <w:t xml:space="preserve"> Gráfico de radar (spider) con overlay de benchmark</w:t>
      </w:r>
      <w:r/>
      <w:r>
        <w:br/>
      </w:r>
      <w:r>
        <w:rPr>
          <w:b/>
        </w:rPr>
        <w:t>Contenido:</w:t>
      </w:r>
      <w:r/>
      <w:r>
        <w:br/>
        <w:t>- Gráfico de araña con 5 ejes (IGC, ICM, IAR, IRD, IBE)</w:t>
      </w:r>
      <w:r/>
      <w:r>
        <w:br/>
        <w:t>- Línea azul oscuro: resultado de la organización</w:t>
      </w:r>
      <w:r/>
      <w:r>
        <w:br/>
        <w:t>- Línea gris punteada: media sectorial</w:t>
      </w:r>
      <w:r/>
      <w:r>
        <w:br/>
        <w:t>- Línea verde punteada: líderes sectoriales (percentil 75)</w:t>
      </w:r>
      <w:r/>
      <w:r>
        <w:br/>
        <w:t>- Tabla de apoyo debajo: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Sub-índice</w:t>
            </w:r>
          </w:p>
        </w:tc>
        <w:tc>
          <w:tcPr>
            <w:tcW w:type="dxa" w:w="2340"/>
            <w:shd w:fill="0033CC"/>
          </w:tcPr>
          <w:p>
            <w:pPr>
              <w:keepLines w:val="1"/>
              <w:keepNext w:val="1"/>
            </w:pPr>
            <w:r>
              <w:rPr>
                <w:b/>
                <w:color w:val="FFFFFF"/>
              </w:rPr>
              <w:t>Score</w:t>
            </w:r>
          </w:p>
        </w:tc>
        <w:tc>
          <w:tcPr>
            <w:tcW w:type="dxa" w:w="2340"/>
            <w:shd w:fill="0033CC"/>
          </w:tcPr>
          <w:p>
            <w:pPr>
              <w:keepLines w:val="1"/>
              <w:keepNext w:val="1"/>
            </w:pPr>
            <w:r>
              <w:rPr>
                <w:b/>
                <w:color w:val="FFFFFF"/>
              </w:rPr>
              <w:t>vs. Sector</w:t>
            </w:r>
          </w:p>
        </w:tc>
        <w:tc>
          <w:tcPr>
            <w:tcW w:type="dxa" w:w="2340"/>
            <w:shd w:fill="0033CC"/>
          </w:tcPr>
          <w:p>
            <w:pPr>
              <w:keepLines w:val="1"/>
              <w:keepNext w:val="1"/>
            </w:pPr>
            <w:r>
              <w:rPr>
                <w:b/>
                <w:color w:val="FFFFFF"/>
              </w:rPr>
              <w:t>Estado</w:t>
            </w:r>
          </w:p>
        </w:tc>
      </w:tr>
      <w:tr>
        <w:trPr>
          <w:cantSplit w:val="1"/>
        </w:trPr>
        <w:tc>
          <w:tcPr>
            <w:tcW w:type="dxa" w:w="2340"/>
          </w:tcPr>
          <w:p>
            <w:pPr>
              <w:keepLines w:val="1"/>
              <w:keepNext w:val="1"/>
            </w:pPr>
            <w:r>
              <w:t>IGC</w:t>
            </w:r>
          </w:p>
        </w:tc>
        <w:tc>
          <w:tcPr>
            <w:tcW w:type="dxa" w:w="2340"/>
          </w:tcPr>
          <w:p>
            <w:pPr>
              <w:keepLines w:val="1"/>
              <w:keepNext w:val="1"/>
            </w:pPr>
            <w:r>
              <w:t>[X.XX]</w:t>
            </w:r>
          </w:p>
        </w:tc>
        <w:tc>
          <w:tcPr>
            <w:tcW w:type="dxa" w:w="2340"/>
          </w:tcPr>
          <w:p>
            <w:pPr>
              <w:keepLines w:val="1"/>
              <w:keepNext w:val="1"/>
            </w:pPr>
            <w:r>
              <w:t>[+/-X]</w:t>
            </w:r>
          </w:p>
        </w:tc>
        <w:tc>
          <w:tcPr>
            <w:tcW w:type="dxa" w:w="2340"/>
          </w:tcPr>
          <w:p>
            <w:pPr>
              <w:keepLines w:val="1"/>
              <w:keepNext w:val="1"/>
            </w:pPr>
            <w:r>
              <w:t>🟢/🟡/🔴</w:t>
            </w:r>
          </w:p>
        </w:tc>
      </w:tr>
      <w:tr>
        <w:trPr>
          <w:cantSplit w:val="1"/>
        </w:trPr>
        <w:tc>
          <w:tcPr>
            <w:tcW w:type="dxa" w:w="2340"/>
          </w:tcPr>
          <w:p>
            <w:pPr>
              <w:keepLines w:val="1"/>
              <w:keepNext w:val="1"/>
            </w:pPr>
            <w:r>
              <w:t>ICM</w:t>
            </w:r>
          </w:p>
        </w:tc>
        <w:tc>
          <w:tcPr>
            <w:tcW w:type="dxa" w:w="2340"/>
          </w:tcPr>
          <w:p>
            <w:pPr>
              <w:keepLines w:val="1"/>
              <w:keepNext w:val="1"/>
            </w:pPr>
            <w:r>
              <w:t>[X.XX]</w:t>
            </w:r>
          </w:p>
        </w:tc>
        <w:tc>
          <w:tcPr>
            <w:tcW w:type="dxa" w:w="2340"/>
          </w:tcPr>
          <w:p>
            <w:pPr>
              <w:keepLines w:val="1"/>
              <w:keepNext w:val="1"/>
            </w:pPr>
            <w:r>
              <w:t>[+/-X]</w:t>
            </w:r>
          </w:p>
        </w:tc>
        <w:tc>
          <w:tcPr>
            <w:tcW w:type="dxa" w:w="2340"/>
          </w:tcPr>
          <w:p>
            <w:pPr>
              <w:keepLines w:val="1"/>
              <w:keepNext w:val="1"/>
            </w:pPr>
            <w:r>
              <w:t>🟢/🟡/🔴</w:t>
            </w:r>
          </w:p>
        </w:tc>
      </w:tr>
      <w:tr>
        <w:trPr>
          <w:cantSplit w:val="1"/>
        </w:trPr>
        <w:tc>
          <w:tcPr>
            <w:tcW w:type="dxa" w:w="2340"/>
          </w:tcPr>
          <w:p>
            <w:pPr>
              <w:keepLines w:val="1"/>
              <w:keepNext w:val="1"/>
            </w:pPr>
            <w:r>
              <w:t>IAR</w:t>
            </w:r>
          </w:p>
        </w:tc>
        <w:tc>
          <w:tcPr>
            <w:tcW w:type="dxa" w:w="2340"/>
          </w:tcPr>
          <w:p>
            <w:pPr>
              <w:keepLines w:val="1"/>
              <w:keepNext w:val="1"/>
            </w:pPr>
            <w:r>
              <w:t>[X.XX]</w:t>
            </w:r>
          </w:p>
        </w:tc>
        <w:tc>
          <w:tcPr>
            <w:tcW w:type="dxa" w:w="2340"/>
          </w:tcPr>
          <w:p>
            <w:pPr>
              <w:keepLines w:val="1"/>
              <w:keepNext w:val="1"/>
            </w:pPr>
            <w:r>
              <w:t>[+/-X]</w:t>
            </w:r>
          </w:p>
        </w:tc>
        <w:tc>
          <w:tcPr>
            <w:tcW w:type="dxa" w:w="2340"/>
          </w:tcPr>
          <w:p>
            <w:pPr>
              <w:keepLines w:val="1"/>
              <w:keepNext w:val="1"/>
            </w:pPr>
            <w:r>
              <w:t>🟢/🟡/🔴</w:t>
            </w:r>
          </w:p>
        </w:tc>
      </w:tr>
      <w:tr>
        <w:trPr>
          <w:cantSplit w:val="1"/>
        </w:trPr>
        <w:tc>
          <w:tcPr>
            <w:tcW w:type="dxa" w:w="2340"/>
          </w:tcPr>
          <w:p>
            <w:pPr>
              <w:keepLines w:val="1"/>
              <w:keepNext w:val="1"/>
            </w:pPr>
            <w:r>
              <w:t>IRD</w:t>
            </w:r>
          </w:p>
        </w:tc>
        <w:tc>
          <w:tcPr>
            <w:tcW w:type="dxa" w:w="2340"/>
          </w:tcPr>
          <w:p>
            <w:pPr>
              <w:keepLines w:val="1"/>
              <w:keepNext w:val="1"/>
            </w:pPr>
            <w:r>
              <w:t>[X.XX]</w:t>
            </w:r>
          </w:p>
        </w:tc>
        <w:tc>
          <w:tcPr>
            <w:tcW w:type="dxa" w:w="2340"/>
          </w:tcPr>
          <w:p>
            <w:pPr>
              <w:keepLines w:val="1"/>
              <w:keepNext w:val="1"/>
            </w:pPr>
            <w:r>
              <w:t>[+/-X]</w:t>
            </w:r>
          </w:p>
        </w:tc>
        <w:tc>
          <w:tcPr>
            <w:tcW w:type="dxa" w:w="2340"/>
          </w:tcPr>
          <w:p>
            <w:pPr>
              <w:keepLines w:val="1"/>
              <w:keepNext w:val="1"/>
            </w:pPr>
            <w:r>
              <w:t>🟢/🟡/🔴</w:t>
            </w:r>
          </w:p>
        </w:tc>
      </w:tr>
      <w:tr>
        <w:trPr>
          <w:cantSplit w:val="1"/>
        </w:trPr>
        <w:tc>
          <w:tcPr>
            <w:tcW w:type="dxa" w:w="2340"/>
          </w:tcPr>
          <w:p>
            <w:pPr>
              <w:keepLines w:val="1"/>
            </w:pPr>
            <w:r>
              <w:t>IBE</w:t>
            </w:r>
          </w:p>
        </w:tc>
        <w:tc>
          <w:tcPr>
            <w:tcW w:type="dxa" w:w="2340"/>
          </w:tcPr>
          <w:p>
            <w:pPr>
              <w:keepLines w:val="1"/>
            </w:pPr>
            <w:r>
              <w:t>[X.XX]</w:t>
            </w:r>
          </w:p>
        </w:tc>
        <w:tc>
          <w:tcPr>
            <w:tcW w:type="dxa" w:w="2340"/>
          </w:tcPr>
          <w:p>
            <w:pPr>
              <w:keepLines w:val="1"/>
            </w:pPr>
            <w:r>
              <w:t>[+/-X]</w:t>
            </w:r>
          </w:p>
        </w:tc>
        <w:tc>
          <w:tcPr>
            <w:tcW w:type="dxa" w:w="2340"/>
          </w:tcPr>
          <w:p>
            <w:pPr>
              <w:keepLines w:val="1"/>
            </w:pPr>
            <w:r>
              <w:t>🟢/🟡/🔴</w:t>
            </w:r>
          </w:p>
        </w:tc>
      </w:tr>
    </w:tbl>
    <w:p/>
    <w:p>
      <w:pPr>
        <w:pStyle w:val="Heading3"/>
        <w:keepNext/>
        <w:keepLines/>
      </w:pPr>
      <w:r>
        <w:t>DIAPOSITIVA 10 — MADUREZ POR DOMINIO CAPEC</w:t>
      </w:r>
    </w:p>
    <w:p>
      <w:r>
        <w:rPr>
          <w:b/>
        </w:rPr>
        <w:t>Layout:</w:t>
      </w:r>
      <w:r>
        <w:t xml:space="preserve"> Barras horizontales con semáforo</w:t>
      </w:r>
      <w:r/>
      <w:r>
        <w:br/>
      </w:r>
      <w:r>
        <w:rPr>
          <w:b/>
        </w:rPr>
        <w:t>Contenido:</w:t>
      </w:r>
      <w:r/>
      <w:r>
        <w:br/>
        <w:t>- 7 barras horizontales (una por dominio CAPEC) con valores de 0 a 5</w:t>
      </w:r>
      <w:r/>
      <w:r>
        <w:br/>
        <w:t>- Línea vertical en x=3.0 (umbral mínimo NIS2/ENS recomendado)</w:t>
      </w:r>
      <w:r/>
      <w:r>
        <w:br/>
        <w:t>- Colores por barra: rojo (&lt;2.0), naranja (2.0–3.0), amarillo (3.0–4.0), verde (&gt;4.0)</w:t>
      </w:r>
      <w:r/>
      <w:r>
        <w:br/>
        <w:t>- Etiqueta en cada barra: nombre del dominio + score + patrones CAPEC más relevantes</w:t>
      </w:r>
    </w:p>
    <w:p>
      <w:r>
        <w:rPr>
          <w:b/>
        </w:rPr>
        <w:t>Dominios mostrados:</w:t>
      </w:r>
      <w:r/>
      <w:r>
        <w:br/>
        <w:t>1. Software — score: [X.X]</w:t>
      </w:r>
      <w:r/>
      <w:r>
        <w:br/>
        <w:t>2. Hardware — score: [X.X]</w:t>
      </w:r>
      <w:r/>
      <w:r>
        <w:br/>
        <w:t>3. Comunicaciones — score: [X.X]</w:t>
      </w:r>
      <w:r/>
      <w:r>
        <w:br/>
        <w:t>4. Cadena de Suministro — score: [X.X]</w:t>
      </w:r>
      <w:r/>
      <w:r>
        <w:br/>
        <w:t>5. Ingeniería Social — score: [X.X]</w:t>
      </w:r>
      <w:r/>
      <w:r>
        <w:br/>
        <w:t>6. Seguridad Física — score: [X.X]</w:t>
      </w:r>
      <w:r/>
      <w:r>
        <w:br/>
        <w:t>7. ICS/OT — score: [X.X]</w:t>
      </w:r>
    </w:p>
    <w:p>
      <w:pPr>
        <w:pStyle w:val="Heading3"/>
        <w:keepNext/>
        <w:keepLines/>
      </w:pPr>
      <w:r>
        <w:t>DIAPOSITIVA 11 — AMENAZAS EMERGENTES: IA ADVERSARIAL</w:t>
      </w:r>
    </w:p>
    <w:p>
      <w:r>
        <w:rPr>
          <w:b/>
        </w:rPr>
        <w:t>Layout:</w:t>
      </w:r>
      <w:r>
        <w:t xml:space="preserve"> Tabla de impacto con iconografía de IA</w:t>
      </w:r>
      <w:r/>
      <w:r>
        <w:br/>
      </w:r>
      <w:r>
        <w:rPr>
          <w:b/>
        </w:rPr>
        <w:t>Contenido:</w:t>
      </w:r>
      <w:r/>
      <w:r>
        <w:br/>
        <w:t>- Tabla de los 6 tipos de ataque adversarial evaluados (NIST AI 100-2e2025):</w:t>
      </w:r>
      <w:r/>
      <w:r>
        <w:br/>
        <w:t xml:space="preserve">  - Evasion, Poisoning, Extraction, Backdoor, Prompt Injection, Shadow AI Exfiltration</w:t>
      </w:r>
      <w:r/>
      <w:r>
        <w:br/>
        <w:t>- Para cada uno: score actual de control (1–4) + gap vs. recomendación</w:t>
      </w:r>
      <w:r/>
      <w:r>
        <w:br/>
        <w:t>- Destacado en rojo: "Prompt Injection: sin control formal en [X]% de organizaciones"</w:t>
      </w:r>
      <w:r/>
      <w:r>
        <w:br/>
        <w:t>- Cita NIST AI 100-2e2025 en el pie de la diapositiva</w:t>
      </w:r>
    </w:p>
    <w:p>
      <w:pPr>
        <w:pStyle w:val="Heading3"/>
        <w:keepNext/>
        <w:keepLines/>
      </w:pPr>
      <w:r>
        <w:t>DIAPOSITIVA 12 — AMENAZAS EMERGENTES: CADENA DE SUMINISTRO</w:t>
      </w:r>
    </w:p>
    <w:p>
      <w:r>
        <w:rPr>
          <w:b/>
        </w:rPr>
        <w:t>Layout:</w:t>
      </w:r>
      <w:r>
        <w:t xml:space="preserve"> Diagrama de la cadena con vectores de ataque señalados</w:t>
      </w:r>
      <w:r/>
      <w:r>
        <w:br/>
      </w:r>
      <w:r>
        <w:rPr>
          <w:b/>
        </w:rPr>
        <w:t>Contenido:</w:t>
      </w:r>
      <w:r/>
      <w:r>
        <w:br/>
        <w:t>- Diagrama: Desarrollo → Build → Repositorios → Distribución → Producción</w:t>
      </w:r>
      <w:r/>
      <w:r>
        <w:br/>
        <w:t>- Marcas de vulnerabilidad en cada eslabón con el CAPEC-ID correspondiente</w:t>
      </w:r>
      <w:r/>
      <w:r>
        <w:br/>
        <w:t>- Porcentaje de organizaciones sin SBOM: [X%] (dato del estudio)</w:t>
      </w:r>
      <w:r/>
      <w:r>
        <w:br/>
        <w:t>- Porcentaje con incidente confirmado de supply chain (últimos 24 meses): [X%]</w:t>
      </w:r>
    </w:p>
    <w:p>
      <w:pPr>
        <w:pStyle w:val="Heading3"/>
        <w:keepNext/>
        <w:keepLines/>
      </w:pPr>
      <w:r>
        <w:t>DIAPOSITIVA 13 — AMENAZAS EMERGENTES: AMENAZA CUÁNTICA</w:t>
      </w:r>
    </w:p>
    <w:p>
      <w:r>
        <w:rPr>
          <w:b/>
        </w:rPr>
        <w:t>Layout:</w:t>
      </w:r>
      <w:r>
        <w:t xml:space="preserve"> Timeline de la amenaza + estado de preparación</w:t>
      </w:r>
      <w:r/>
      <w:r>
        <w:br/>
      </w:r>
      <w:r>
        <w:rPr>
          <w:b/>
        </w:rPr>
        <w:t>Contenido:</w:t>
      </w:r>
      <w:r/>
      <w:r>
        <w:br/>
        <w:t>- Timeline: Hoy → CRQC esperado 2030–2035 → Retrodesciframiento de tráfico capturado hoy</w:t>
      </w:r>
      <w:r/>
      <w:r>
        <w:br/>
        <w:t>- Estado de preparación de la organización: escala 1–5 (posicionar)</w:t>
      </w:r>
      <w:r/>
      <w:r>
        <w:br/>
        <w:t>- NIST PQC: ML-KEM, ML-DSA, SLH-DSA (publicados 2024)</w:t>
      </w:r>
      <w:r/>
      <w:r>
        <w:br/>
        <w:t>- Dato impacto: "67% de organizaciones ya han sufrido compromisos HNDL detectados"</w:t>
      </w:r>
      <w:r/>
      <w:r>
        <w:br/>
        <w:t>- Recomendación inmediata: iniciar inventario criptográfico</w:t>
      </w:r>
    </w:p>
    <w:p>
      <w:pPr>
        <w:pStyle w:val="Heading3"/>
        <w:keepNext/>
        <w:keepLines/>
      </w:pPr>
      <w:r>
        <w:t>DIAPOSITIVA 14 — POSICIÓN COMPARATIVA SECTORIAL</w:t>
      </w:r>
    </w:p>
    <w:p>
      <w:r>
        <w:rPr>
          <w:b/>
        </w:rPr>
        <w:t>Layout:</w:t>
      </w:r>
      <w:r>
        <w:t xml:space="preserve"> Beeswarm o dot plot con la posición de la organización</w:t>
      </w:r>
      <w:r/>
      <w:r>
        <w:br/>
      </w:r>
      <w:r>
        <w:rPr>
          <w:b/>
        </w:rPr>
        <w:t>Contenido:</w:t>
      </w:r>
      <w:r/>
      <w:r>
        <w:br/>
        <w:t>- Distribución de IGM-CAPEC de todas las organizaciones del sector (puntos)</w:t>
      </w:r>
      <w:r/>
      <w:r>
        <w:br/>
        <w:t>- Posición de la organización destacada en azul oscuro</w:t>
      </w:r>
      <w:r/>
      <w:r>
        <w:br/>
        <w:t xml:space="preserve">- Percentil de la organización: </w:t>
      </w:r>
      <w:r>
        <w:rPr>
          <w:b/>
        </w:rPr>
        <w:t>Percentil [XX]</w:t>
      </w:r>
      <w:r>
        <w:t xml:space="preserve"> — "Está por encima/debajo del [XX]% del sector"</w:t>
      </w:r>
      <w:r/>
      <w:r>
        <w:br/>
        <w:t>- Top 5 brechas diferenciales respecto a líderes sectoriales (percentil 75)</w:t>
      </w:r>
    </w:p>
    <w:p>
      <w:pPr>
        <w:pStyle w:val="Heading3"/>
        <w:keepNext/>
        <w:keepLines/>
      </w:pPr>
      <w:r>
        <w:t>DIAPOSITIVA 15 — ANÁLISIS DE CUMPLIMIENTO REGULATORIO</w:t>
      </w:r>
    </w:p>
    <w:p>
      <w:r>
        <w:rPr>
          <w:b/>
        </w:rPr>
        <w:t>Layout:</w:t>
      </w:r>
      <w:r>
        <w:t xml:space="preserve"> Tabla de estado por marco normativo</w:t>
      </w:r>
      <w:r/>
      <w:r>
        <w:br/>
      </w:r>
      <w:r>
        <w:rPr>
          <w:b/>
        </w:rPr>
        <w:t>Contenido:</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Marco</w:t>
            </w:r>
          </w:p>
        </w:tc>
        <w:tc>
          <w:tcPr>
            <w:tcW w:type="dxa" w:w="1872"/>
            <w:shd w:fill="0033CC"/>
          </w:tcPr>
          <w:p>
            <w:pPr>
              <w:keepLines w:val="1"/>
              <w:keepNext w:val="1"/>
            </w:pPr>
            <w:r>
              <w:rPr>
                <w:b/>
                <w:color w:val="FFFFFF"/>
              </w:rPr>
              <w:t>Artículos clave evaluados</w:t>
            </w:r>
          </w:p>
        </w:tc>
        <w:tc>
          <w:tcPr>
            <w:tcW w:type="dxa" w:w="1872"/>
            <w:shd w:fill="0033CC"/>
          </w:tcPr>
          <w:p>
            <w:pPr>
              <w:keepLines w:val="1"/>
              <w:keepNext w:val="1"/>
            </w:pPr>
            <w:r>
              <w:rPr>
                <w:b/>
                <w:color w:val="FFFFFF"/>
              </w:rPr>
              <w:t>Estado</w:t>
            </w:r>
          </w:p>
        </w:tc>
        <w:tc>
          <w:tcPr>
            <w:tcW w:type="dxa" w:w="1872"/>
            <w:shd w:fill="0033CC"/>
          </w:tcPr>
          <w:p>
            <w:pPr>
              <w:keepLines w:val="1"/>
              <w:keepNext w:val="1"/>
            </w:pPr>
            <w:r>
              <w:rPr>
                <w:b/>
                <w:color w:val="FFFFFF"/>
              </w:rPr>
              <w:t>Gaps identificados</w:t>
            </w:r>
          </w:p>
        </w:tc>
        <w:tc>
          <w:tcPr>
            <w:tcW w:type="dxa" w:w="1872"/>
            <w:shd w:fill="0033CC"/>
          </w:tcPr>
          <w:p>
            <w:pPr>
              <w:keepLines w:val="1"/>
              <w:keepNext w:val="1"/>
            </w:pPr>
            <w:r>
              <w:rPr>
                <w:b/>
                <w:color w:val="FFFFFF"/>
              </w:rPr>
              <w:t>Sanción máxima</w:t>
            </w:r>
          </w:p>
        </w:tc>
      </w:tr>
      <w:tr>
        <w:trPr>
          <w:cantSplit w:val="1"/>
        </w:trPr>
        <w:tc>
          <w:tcPr>
            <w:tcW w:type="dxa" w:w="1872"/>
          </w:tcPr>
          <w:p>
            <w:pPr>
              <w:keepLines w:val="1"/>
              <w:keepNext w:val="1"/>
            </w:pPr>
            <w:r>
              <w:t>NIS2</w:t>
            </w:r>
          </w:p>
        </w:tc>
        <w:tc>
          <w:tcPr>
            <w:tcW w:type="dxa" w:w="1872"/>
          </w:tcPr>
          <w:p>
            <w:pPr>
              <w:keepLines w:val="1"/>
              <w:keepNext w:val="1"/>
            </w:pPr>
            <w:r>
              <w:t>Art. 21.2 (a–j)</w:t>
            </w:r>
          </w:p>
        </w:tc>
        <w:tc>
          <w:tcPr>
            <w:tcW w:type="dxa" w:w="1872"/>
          </w:tcPr>
          <w:p>
            <w:pPr>
              <w:keepLines w:val="1"/>
              <w:keepNext w:val="1"/>
            </w:pPr>
            <w:r>
              <w:t>🟡 Parcial</w:t>
            </w:r>
          </w:p>
        </w:tc>
        <w:tc>
          <w:tcPr>
            <w:tcW w:type="dxa" w:w="1872"/>
          </w:tcPr>
          <w:p>
            <w:pPr>
              <w:keepLines w:val="1"/>
              <w:keepNext w:val="1"/>
            </w:pPr>
            <w:r>
              <w:t>[X] de 10 sub-requisitos</w:t>
            </w:r>
          </w:p>
        </w:tc>
        <w:tc>
          <w:tcPr>
            <w:tcW w:type="dxa" w:w="1872"/>
          </w:tcPr>
          <w:p>
            <w:pPr>
              <w:keepLines w:val="1"/>
              <w:keepNext w:val="1"/>
            </w:pPr>
            <w:r>
              <w:t>2% facturación global</w:t>
            </w:r>
          </w:p>
        </w:tc>
      </w:tr>
      <w:tr>
        <w:trPr>
          <w:cantSplit w:val="1"/>
        </w:trPr>
        <w:tc>
          <w:tcPr>
            <w:tcW w:type="dxa" w:w="1872"/>
          </w:tcPr>
          <w:p>
            <w:pPr>
              <w:keepLines w:val="1"/>
              <w:keepNext w:val="1"/>
            </w:pPr>
            <w:r>
              <w:t>ENS</w:t>
            </w:r>
          </w:p>
        </w:tc>
        <w:tc>
          <w:tcPr>
            <w:tcW w:type="dxa" w:w="1872"/>
          </w:tcPr>
          <w:p>
            <w:pPr>
              <w:keepLines w:val="1"/>
              <w:keepNext w:val="1"/>
            </w:pPr>
            <w:r>
              <w:t>Medidas Nivel [ENS]</w:t>
            </w:r>
          </w:p>
        </w:tc>
        <w:tc>
          <w:tcPr>
            <w:tcW w:type="dxa" w:w="1872"/>
          </w:tcPr>
          <w:p>
            <w:pPr>
              <w:keepLines w:val="1"/>
              <w:keepNext w:val="1"/>
            </w:pPr>
            <w:r>
              <w:t>🟡 En desarrollo</w:t>
            </w:r>
          </w:p>
        </w:tc>
        <w:tc>
          <w:tcPr>
            <w:tcW w:type="dxa" w:w="1872"/>
          </w:tcPr>
          <w:p>
            <w:pPr>
              <w:keepLines w:val="1"/>
              <w:keepNext w:val="1"/>
            </w:pPr>
            <w:r>
              <w:t>[X] controles pendientes</w:t>
            </w:r>
          </w:p>
        </w:tc>
        <w:tc>
          <w:tcPr>
            <w:tcW w:type="dxa" w:w="1872"/>
          </w:tcPr>
          <w:p>
            <w:pPr>
              <w:keepLines w:val="1"/>
              <w:keepNext w:val="1"/>
            </w:pPr>
            <w:r>
              <w:t>Inhabilitación servicios</w:t>
            </w:r>
          </w:p>
        </w:tc>
      </w:tr>
      <w:tr>
        <w:trPr>
          <w:cantSplit w:val="1"/>
        </w:trPr>
        <w:tc>
          <w:tcPr>
            <w:tcW w:type="dxa" w:w="1872"/>
          </w:tcPr>
          <w:p>
            <w:pPr>
              <w:keepLines w:val="1"/>
              <w:keepNext w:val="1"/>
            </w:pPr>
            <w:r>
              <w:t>DORA</w:t>
            </w:r>
          </w:p>
        </w:tc>
        <w:tc>
          <w:tcPr>
            <w:tcW w:type="dxa" w:w="1872"/>
          </w:tcPr>
          <w:p>
            <w:pPr>
              <w:keepLines w:val="1"/>
              <w:keepNext w:val="1"/>
            </w:pPr>
            <w:r>
              <w:t>Art. 5, 8, 9, 11, 26, 28</w:t>
            </w:r>
          </w:p>
        </w:tc>
        <w:tc>
          <w:tcPr>
            <w:tcW w:type="dxa" w:w="1872"/>
          </w:tcPr>
          <w:p>
            <w:pPr>
              <w:keepLines w:val="1"/>
              <w:keepNext w:val="1"/>
            </w:pPr>
            <w:r>
              <w:t>🔴 Crítico</w:t>
            </w:r>
          </w:p>
        </w:tc>
        <w:tc>
          <w:tcPr>
            <w:tcW w:type="dxa" w:w="1872"/>
          </w:tcPr>
          <w:p>
            <w:pPr>
              <w:keepLines w:val="1"/>
              <w:keepNext w:val="1"/>
            </w:pPr>
            <w:r>
              <w:t>[X] requisitos sin cubrir</w:t>
            </w:r>
          </w:p>
        </w:tc>
        <w:tc>
          <w:tcPr>
            <w:tcW w:type="dxa" w:w="1872"/>
          </w:tcPr>
          <w:p>
            <w:pPr>
              <w:keepLines w:val="1"/>
              <w:keepNext w:val="1"/>
            </w:pPr>
            <w:r>
              <w:t>Variable</w:t>
            </w:r>
          </w:p>
        </w:tc>
      </w:tr>
      <w:tr>
        <w:trPr>
          <w:cantSplit w:val="1"/>
        </w:trPr>
        <w:tc>
          <w:tcPr>
            <w:tcW w:type="dxa" w:w="1872"/>
          </w:tcPr>
          <w:p>
            <w:pPr>
              <w:keepLines w:val="1"/>
            </w:pPr>
            <w:r>
              <w:t>RGPD</w:t>
            </w:r>
          </w:p>
        </w:tc>
        <w:tc>
          <w:tcPr>
            <w:tcW w:type="dxa" w:w="1872"/>
          </w:tcPr>
          <w:p>
            <w:pPr>
              <w:keepLines w:val="1"/>
            </w:pPr>
            <w:r>
              <w:t>Art. 25, 32, 35</w:t>
            </w:r>
          </w:p>
        </w:tc>
        <w:tc>
          <w:tcPr>
            <w:tcW w:type="dxa" w:w="1872"/>
          </w:tcPr>
          <w:p>
            <w:pPr>
              <w:keepLines w:val="1"/>
            </w:pPr>
            <w:r>
              <w:t>🟢 Adecuado</w:t>
            </w:r>
          </w:p>
        </w:tc>
        <w:tc>
          <w:tcPr>
            <w:tcW w:type="dxa" w:w="1872"/>
          </w:tcPr>
          <w:p>
            <w:pPr>
              <w:keepLines w:val="1"/>
            </w:pPr>
            <w:r>
              <w:t>Menor</w:t>
            </w:r>
          </w:p>
        </w:tc>
        <w:tc>
          <w:tcPr>
            <w:tcW w:type="dxa" w:w="1872"/>
          </w:tcPr>
          <w:p>
            <w:pPr>
              <w:keepLines w:val="1"/>
            </w:pPr>
            <w:r>
              <w:t>4% facturación global</w:t>
            </w:r>
          </w:p>
        </w:tc>
      </w:tr>
    </w:tbl>
    <w:p/>
    <w:p>
      <w:pPr>
        <w:pStyle w:val="Heading3"/>
        <w:keepNext/>
        <w:keepLines/>
      </w:pPr>
      <w:r>
        <w:t>DIAPOSITIVA 16 — ROSI: EL ARGUMENTO FINANCIERO</w:t>
      </w:r>
    </w:p>
    <w:p>
      <w:r>
        <w:rPr>
          <w:b/>
        </w:rPr>
        <w:t>Layout:</w:t>
      </w:r>
      <w:r>
        <w:t xml:space="preserve"> Tres KPI grandes + gráfica de comparación</w:t>
      </w:r>
    </w:p>
    <w:p>
      <w:r>
        <w:rPr>
          <w:b/>
        </w:rPr>
        <w:t>KPI 1:</w:t>
      </w:r>
      <w:r>
        <w:t xml:space="preserve"> Inversión anual en ciberseguridad</w:t>
      </w:r>
      <w:r/>
      <w:r>
        <w:br/>
        <w:t xml:space="preserve">- Valor: </w:t>
      </w:r>
      <w:r>
        <w:rPr>
          <w:b/>
        </w:rPr>
        <w:t>[XXX.XXX] EUR</w:t>
      </w:r>
    </w:p>
    <w:p>
      <w:r>
        <w:rPr>
          <w:b/>
        </w:rPr>
        <w:t>KPI 2:</w:t>
      </w:r>
      <w:r>
        <w:t xml:space="preserve"> ROSI calculado</w:t>
      </w:r>
      <w:r/>
      <w:r>
        <w:br/>
        <w:t xml:space="preserve">- Valor: </w:t>
      </w:r>
      <w:r>
        <w:rPr>
          <w:b/>
        </w:rPr>
        <w:t>[XXX]%</w:t>
      </w:r>
      <w:r/>
      <w:r>
        <w:br/>
        <w:t>- Subtítulo: "Por cada euro invertido, se evitan [X.X] euros de pérdida esperada"</w:t>
      </w:r>
    </w:p>
    <w:p>
      <w:r>
        <w:rPr>
          <w:b/>
        </w:rPr>
        <w:t>KPI 3:</w:t>
      </w:r>
      <w:r>
        <w:t xml:space="preserve"> Sanciones regulatorias potenciales evitadas</w:t>
      </w:r>
      <w:r/>
      <w:r>
        <w:br/>
        <w:t xml:space="preserve">- Valor: </w:t>
      </w:r>
      <w:r>
        <w:rPr>
          <w:b/>
        </w:rPr>
        <w:t>[X.X M] EUR</w:t>
      </w:r>
    </w:p>
    <w:p>
      <w:r>
        <w:rPr>
          <w:b/>
        </w:rPr>
        <w:t>Gráfica:</w:t>
      </w:r>
      <w:r>
        <w:t xml:space="preserve"> Barras comparando ALE sin controles vs. ALE con controles actuales vs. ALE con controles objetivo</w:t>
      </w:r>
    </w:p>
    <w:p>
      <w:pPr>
        <w:pStyle w:val="Heading3"/>
        <w:keepNext/>
        <w:keepLines/>
      </w:pPr>
      <w:r>
        <w:t>DIAPOSITIVA 17 — PLAN DE ACCIÓN PRIORIZADO</w:t>
      </w:r>
    </w:p>
    <w:p>
      <w:r>
        <w:rPr>
          <w:b/>
        </w:rPr>
        <w:t>Layout:</w:t>
      </w:r>
      <w:r>
        <w:t xml:space="preserve"> Tabla de acción 90 días / 6 meses / 12 meses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Prioridad</w:t>
            </w:r>
          </w:p>
        </w:tc>
        <w:tc>
          <w:tcPr>
            <w:tcW w:type="dxa" w:w="1560"/>
            <w:shd w:fill="0033CC"/>
          </w:tcPr>
          <w:p>
            <w:pPr>
              <w:keepLines w:val="1"/>
              <w:keepNext w:val="1"/>
            </w:pPr>
            <w:r>
              <w:rPr>
                <w:b/>
                <w:color w:val="FFFFFF"/>
              </w:rPr>
              <w:t>Brecha</w:t>
            </w:r>
          </w:p>
        </w:tc>
        <w:tc>
          <w:tcPr>
            <w:tcW w:type="dxa" w:w="1560"/>
            <w:shd w:fill="0033CC"/>
          </w:tcPr>
          <w:p>
            <w:pPr>
              <w:keepLines w:val="1"/>
              <w:keepNext w:val="1"/>
            </w:pPr>
            <w:r>
              <w:rPr>
                <w:b/>
                <w:color w:val="FFFFFF"/>
              </w:rPr>
              <w:t>Acción</w:t>
            </w:r>
          </w:p>
        </w:tc>
        <w:tc>
          <w:tcPr>
            <w:tcW w:type="dxa" w:w="1560"/>
            <w:shd w:fill="0033CC"/>
          </w:tcPr>
          <w:p>
            <w:pPr>
              <w:keepLines w:val="1"/>
              <w:keepNext w:val="1"/>
            </w:pPr>
            <w:r>
              <w:rPr>
                <w:b/>
                <w:color w:val="FFFFFF"/>
              </w:rPr>
              <w:t>Responsable</w:t>
            </w:r>
          </w:p>
        </w:tc>
        <w:tc>
          <w:tcPr>
            <w:tcW w:type="dxa" w:w="1560"/>
            <w:shd w:fill="0033CC"/>
          </w:tcPr>
          <w:p>
            <w:pPr>
              <w:keepLines w:val="1"/>
              <w:keepNext w:val="1"/>
            </w:pPr>
            <w:r>
              <w:rPr>
                <w:b/>
                <w:color w:val="FFFFFF"/>
              </w:rPr>
              <w:t>Plazo</w:t>
            </w:r>
          </w:p>
        </w:tc>
        <w:tc>
          <w:tcPr>
            <w:tcW w:type="dxa" w:w="1560"/>
            <w:shd w:fill="0033CC"/>
          </w:tcPr>
          <w:p>
            <w:pPr>
              <w:keepLines w:val="1"/>
              <w:keepNext w:val="1"/>
            </w:pPr>
            <w:r>
              <w:rPr>
                <w:b/>
                <w:color w:val="FFFFFF"/>
              </w:rPr>
              <w:t>Coste est.</w:t>
            </w:r>
          </w:p>
        </w:tc>
      </w:tr>
      <w:tr>
        <w:trPr>
          <w:cantSplit w:val="1"/>
        </w:trPr>
        <w:tc>
          <w:tcPr>
            <w:tcW w:type="dxa" w:w="1560"/>
          </w:tcPr>
          <w:p>
            <w:pPr>
              <w:keepLines w:val="1"/>
              <w:keepNext w:val="1"/>
            </w:pPr>
            <w:r>
              <w:t>🔴 CRÍTICA</w:t>
            </w:r>
          </w:p>
        </w:tc>
        <w:tc>
          <w:tcPr>
            <w:tcW w:type="dxa" w:w="1560"/>
          </w:tcPr>
          <w:p>
            <w:pPr>
              <w:keepLines w:val="1"/>
              <w:keepNext w:val="1"/>
            </w:pPr>
            <w:r>
              <w:t>[Dominio con menor IGM]</w:t>
            </w:r>
          </w:p>
        </w:tc>
        <w:tc>
          <w:tcPr>
            <w:tcW w:type="dxa" w:w="1560"/>
          </w:tcPr>
          <w:p>
            <w:pPr>
              <w:keepLines w:val="1"/>
              <w:keepNext w:val="1"/>
            </w:pPr>
            <w:r>
              <w:t>[Acción específica]</w:t>
            </w:r>
          </w:p>
        </w:tc>
        <w:tc>
          <w:tcPr>
            <w:tcW w:type="dxa" w:w="1560"/>
          </w:tcPr>
          <w:p>
            <w:pPr>
              <w:keepLines w:val="1"/>
              <w:keepNext w:val="1"/>
            </w:pPr>
            <w:r>
              <w:t>CISO</w:t>
            </w:r>
          </w:p>
        </w:tc>
        <w:tc>
          <w:tcPr>
            <w:tcW w:type="dxa" w:w="1560"/>
          </w:tcPr>
          <w:p>
            <w:pPr>
              <w:keepLines w:val="1"/>
              <w:keepNext w:val="1"/>
            </w:pPr>
            <w:r>
              <w:t>30 días</w:t>
            </w:r>
          </w:p>
        </w:tc>
        <w:tc>
          <w:tcPr>
            <w:tcW w:type="dxa" w:w="1560"/>
          </w:tcPr>
          <w:p>
            <w:pPr>
              <w:keepLines w:val="1"/>
              <w:keepNext w:val="1"/>
            </w:pPr>
            <w:r>
              <w:t>[EUR]</w:t>
            </w:r>
          </w:p>
        </w:tc>
      </w:tr>
      <w:tr>
        <w:trPr>
          <w:cantSplit w:val="1"/>
        </w:trPr>
        <w:tc>
          <w:tcPr>
            <w:tcW w:type="dxa" w:w="1560"/>
          </w:tcPr>
          <w:p>
            <w:pPr>
              <w:keepLines w:val="1"/>
              <w:keepNext w:val="1"/>
            </w:pPr>
            <w:r>
              <w:t>🔴 CRÍTICA</w:t>
            </w:r>
          </w:p>
        </w:tc>
        <w:tc>
          <w:tcPr>
            <w:tcW w:type="dxa" w:w="1560"/>
          </w:tcPr>
          <w:p>
            <w:pPr>
              <w:keepLines w:val="1"/>
              <w:keepNext w:val="1"/>
            </w:pPr>
            <w:r>
              <w:t>Sin SBOM / Supply Chain</w:t>
            </w:r>
          </w:p>
        </w:tc>
        <w:tc>
          <w:tcPr>
            <w:tcW w:type="dxa" w:w="1560"/>
          </w:tcPr>
          <w:p>
            <w:pPr>
              <w:keepLines w:val="1"/>
              <w:keepNext w:val="1"/>
            </w:pPr>
            <w:r>
              <w:t>Implementar SCA</w:t>
            </w:r>
          </w:p>
        </w:tc>
        <w:tc>
          <w:tcPr>
            <w:tcW w:type="dxa" w:w="1560"/>
          </w:tcPr>
          <w:p>
            <w:pPr>
              <w:keepLines w:val="1"/>
              <w:keepNext w:val="1"/>
            </w:pPr>
            <w:r>
              <w:t>DevSecOps</w:t>
            </w:r>
          </w:p>
        </w:tc>
        <w:tc>
          <w:tcPr>
            <w:tcW w:type="dxa" w:w="1560"/>
          </w:tcPr>
          <w:p>
            <w:pPr>
              <w:keepLines w:val="1"/>
              <w:keepNext w:val="1"/>
            </w:pPr>
            <w:r>
              <w:t>60 días</w:t>
            </w:r>
          </w:p>
        </w:tc>
        <w:tc>
          <w:tcPr>
            <w:tcW w:type="dxa" w:w="1560"/>
          </w:tcPr>
          <w:p>
            <w:pPr>
              <w:keepLines w:val="1"/>
              <w:keepNext w:val="1"/>
            </w:pPr>
            <w:r>
              <w:t>[EUR]</w:t>
            </w:r>
          </w:p>
        </w:tc>
      </w:tr>
      <w:tr>
        <w:trPr>
          <w:cantSplit w:val="1"/>
        </w:trPr>
        <w:tc>
          <w:tcPr>
            <w:tcW w:type="dxa" w:w="1560"/>
          </w:tcPr>
          <w:p>
            <w:pPr>
              <w:keepLines w:val="1"/>
              <w:keepNext w:val="1"/>
            </w:pPr>
            <w:r>
              <w:t>🟡 ALTA</w:t>
            </w:r>
          </w:p>
        </w:tc>
        <w:tc>
          <w:tcPr>
            <w:tcW w:type="dxa" w:w="1560"/>
          </w:tcPr>
          <w:p>
            <w:pPr>
              <w:keepLines w:val="1"/>
              <w:keepNext w:val="1"/>
            </w:pPr>
            <w:r>
              <w:t>Sin política IA generativa</w:t>
            </w:r>
          </w:p>
        </w:tc>
        <w:tc>
          <w:tcPr>
            <w:tcW w:type="dxa" w:w="1560"/>
          </w:tcPr>
          <w:p>
            <w:pPr>
              <w:keepLines w:val="1"/>
              <w:keepNext w:val="1"/>
            </w:pPr>
            <w:r>
              <w:t>Redactar y aprobar política</w:t>
            </w:r>
          </w:p>
        </w:tc>
        <w:tc>
          <w:tcPr>
            <w:tcW w:type="dxa" w:w="1560"/>
          </w:tcPr>
          <w:p>
            <w:pPr>
              <w:keepLines w:val="1"/>
              <w:keepNext w:val="1"/>
            </w:pPr>
            <w:r>
              <w:t>CISO + Jurídico</w:t>
            </w:r>
          </w:p>
        </w:tc>
        <w:tc>
          <w:tcPr>
            <w:tcW w:type="dxa" w:w="1560"/>
          </w:tcPr>
          <w:p>
            <w:pPr>
              <w:keepLines w:val="1"/>
              <w:keepNext w:val="1"/>
            </w:pPr>
            <w:r>
              <w:t>30 días</w:t>
            </w:r>
          </w:p>
        </w:tc>
        <w:tc>
          <w:tcPr>
            <w:tcW w:type="dxa" w:w="1560"/>
          </w:tcPr>
          <w:p>
            <w:pPr>
              <w:keepLines w:val="1"/>
              <w:keepNext w:val="1"/>
            </w:pPr>
            <w:r>
              <w:t>[EUR]</w:t>
            </w:r>
          </w:p>
        </w:tc>
      </w:tr>
      <w:tr>
        <w:trPr>
          <w:cantSplit w:val="1"/>
        </w:trPr>
        <w:tc>
          <w:tcPr>
            <w:tcW w:type="dxa" w:w="1560"/>
          </w:tcPr>
          <w:p>
            <w:pPr>
              <w:keepLines w:val="1"/>
              <w:keepNext w:val="1"/>
            </w:pPr>
            <w:r>
              <w:t>🟡 ALTA</w:t>
            </w:r>
          </w:p>
        </w:tc>
        <w:tc>
          <w:tcPr>
            <w:tcW w:type="dxa" w:w="1560"/>
          </w:tcPr>
          <w:p>
            <w:pPr>
              <w:keepLines w:val="1"/>
              <w:keepNext w:val="1"/>
            </w:pPr>
            <w:r>
              <w:t>Sin inventario criptográfico</w:t>
            </w:r>
          </w:p>
        </w:tc>
        <w:tc>
          <w:tcPr>
            <w:tcW w:type="dxa" w:w="1560"/>
          </w:tcPr>
          <w:p>
            <w:pPr>
              <w:keepLines w:val="1"/>
              <w:keepNext w:val="1"/>
            </w:pPr>
            <w:r>
              <w:t>Iniciar auditoría PQC</w:t>
            </w:r>
          </w:p>
        </w:tc>
        <w:tc>
          <w:tcPr>
            <w:tcW w:type="dxa" w:w="1560"/>
          </w:tcPr>
          <w:p>
            <w:pPr>
              <w:keepLines w:val="1"/>
              <w:keepNext w:val="1"/>
            </w:pPr>
            <w:r>
              <w:t>Arquitectura</w:t>
            </w:r>
          </w:p>
        </w:tc>
        <w:tc>
          <w:tcPr>
            <w:tcW w:type="dxa" w:w="1560"/>
          </w:tcPr>
          <w:p>
            <w:pPr>
              <w:keepLines w:val="1"/>
              <w:keepNext w:val="1"/>
            </w:pPr>
            <w:r>
              <w:t>90 días</w:t>
            </w:r>
          </w:p>
        </w:tc>
        <w:tc>
          <w:tcPr>
            <w:tcW w:type="dxa" w:w="1560"/>
          </w:tcPr>
          <w:p>
            <w:pPr>
              <w:keepLines w:val="1"/>
              <w:keepNext w:val="1"/>
            </w:pPr>
            <w:r>
              <w:t>[EUR]</w:t>
            </w:r>
          </w:p>
        </w:tc>
      </w:tr>
      <w:tr>
        <w:trPr>
          <w:cantSplit w:val="1"/>
        </w:trPr>
        <w:tc>
          <w:tcPr>
            <w:tcW w:type="dxa" w:w="1560"/>
          </w:tcPr>
          <w:p>
            <w:pPr>
              <w:keepLines w:val="1"/>
            </w:pPr>
            <w:r>
              <w:t>🟢 MEDIA</w:t>
            </w:r>
          </w:p>
        </w:tc>
        <w:tc>
          <w:tcPr>
            <w:tcW w:type="dxa" w:w="1560"/>
          </w:tcPr>
          <w:p>
            <w:pPr>
              <w:keepLines w:val="1"/>
            </w:pPr>
            <w:r>
              <w:t>Formación técnica CAPEC</w:t>
            </w:r>
          </w:p>
        </w:tc>
        <w:tc>
          <w:tcPr>
            <w:tcW w:type="dxa" w:w="1560"/>
          </w:tcPr>
          <w:p>
            <w:pPr>
              <w:keepLines w:val="1"/>
            </w:pPr>
            <w:r>
              <w:t>Programa de formación</w:t>
            </w:r>
          </w:p>
        </w:tc>
        <w:tc>
          <w:tcPr>
            <w:tcW w:type="dxa" w:w="1560"/>
          </w:tcPr>
          <w:p>
            <w:pPr>
              <w:keepLines w:val="1"/>
            </w:pPr>
            <w:r>
              <w:t>RRHH + CISO</w:t>
            </w:r>
          </w:p>
        </w:tc>
        <w:tc>
          <w:tcPr>
            <w:tcW w:type="dxa" w:w="1560"/>
          </w:tcPr>
          <w:p>
            <w:pPr>
              <w:keepLines w:val="1"/>
            </w:pPr>
            <w:r>
              <w:t>6 meses</w:t>
            </w:r>
          </w:p>
        </w:tc>
        <w:tc>
          <w:tcPr>
            <w:tcW w:type="dxa" w:w="1560"/>
          </w:tcPr>
          <w:p>
            <w:pPr>
              <w:keepLines w:val="1"/>
            </w:pPr>
            <w:r>
              <w:t>[EUR]</w:t>
            </w:r>
          </w:p>
        </w:tc>
      </w:tr>
    </w:tbl>
    <w:p/>
    <w:p>
      <w:pPr>
        <w:pStyle w:val="Heading3"/>
        <w:keepNext/>
        <w:keepLines/>
      </w:pPr>
      <w:r>
        <w:t>DIAPOSITIVA 18 — CONCLUSIONES Y PRÓXIMOS PASOS</w:t>
      </w:r>
    </w:p>
    <w:p>
      <w:r>
        <w:rPr>
          <w:b/>
        </w:rPr>
        <w:t>Layout:</w:t>
      </w:r>
      <w:r>
        <w:t xml:space="preserve"> 3 recuadros de mensaje clave</w:t>
      </w:r>
      <w:r/>
      <w:r>
        <w:br/>
      </w:r>
      <w:r>
        <w:rPr>
          <w:b/>
        </w:rPr>
        <w:t>Contenido:</w:t>
      </w:r>
    </w:p>
    <w:p>
      <w:r>
        <w:rPr>
          <w:b/>
        </w:rPr>
        <w:t>Recuadro 1 — Dónde estamos:</w:t>
      </w:r>
      <w:r/>
      <w:r>
        <w:br/>
        <w:t>- IGM-CAPEC: [X.XX] — Nivel [N]</w:t>
      </w:r>
      <w:r/>
      <w:r>
        <w:br/>
        <w:t>- Posición sectorial: Percentil [XX]</w:t>
      </w:r>
      <w:r/>
      <w:r>
        <w:br/>
        <w:t>- Mayor brecha: Dominio [X] (score: [X.X])</w:t>
      </w:r>
    </w:p>
    <w:p>
      <w:r>
        <w:rPr>
          <w:b/>
        </w:rPr>
        <w:t>Recuadro 2 — El riesgo de no actuar:</w:t>
      </w:r>
      <w:r/>
      <w:r>
        <w:br/>
        <w:t>- Exposición regulatoria estimada: [X.X M] EUR en sanciones potenciales</w:t>
      </w:r>
      <w:r/>
      <w:r>
        <w:br/>
        <w:t>- Coste de incidente del sector vs. coste de control: ratio [X:1]</w:t>
      </w:r>
    </w:p>
    <w:p>
      <w:r>
        <w:rPr>
          <w:b/>
        </w:rPr>
        <w:t>Recuadro 3 — La decisión necesaria:</w:t>
      </w:r>
      <w:r/>
      <w:r>
        <w:br/>
        <w:t>- Aprobación del presupuesto adicional: [X EUR] para acciones críticas</w:t>
      </w:r>
      <w:r/>
      <w:r>
        <w:br/>
        <w:t>- Nombramiento del responsable del programa de mejora CAPEC</w:t>
      </w:r>
      <w:r/>
      <w:r>
        <w:br/>
        <w:t>- Fecha de revisión: [próximo trimestre]</w:t>
      </w:r>
    </w:p>
    <w:p>
      <w:pPr>
        <w:pStyle w:val="Heading2"/>
        <w:keepNext/>
        <w:keepLines/>
      </w:pPr>
      <w:r>
        <w:rPr>
          <w:color w:val="0066CC"/>
        </w:rPr>
        <w:t>DIAPOSITIVAS DE RESPALDO (BACKUP) — PARA PREGUNTAS EN PROFUNDIDAD</w:t>
      </w:r>
    </w:p>
    <w:p>
      <w:pPr>
        <w:pStyle w:val="Heading3"/>
        <w:keepNext/>
        <w:keepLines/>
      </w:pPr>
      <w:r>
        <w:t>BACKUP 01 — Taxonomía completa CAPEC v3.9</w:t>
      </w:r>
    </w:p>
    <w:p>
      <w:r>
        <w:t>Los 9 mecanismos de ataque y los 559 patrones organizados por dominio y nivel de abstracción.</w:t>
      </w:r>
    </w:p>
    <w:p>
      <w:pPr>
        <w:pStyle w:val="Heading3"/>
        <w:keepNext/>
        <w:keepLines/>
      </w:pPr>
      <w:r>
        <w:t>BACKUP 02 — Metodología GQM detallada</w:t>
      </w:r>
    </w:p>
    <w:p>
      <w:r>
        <w:t>Diagrama Goal–Question–Metric completo con los 5 sub-índices y sus ítems de encuesta correspondientes.</w:t>
      </w:r>
    </w:p>
    <w:p>
      <w:pPr>
        <w:pStyle w:val="Heading3"/>
        <w:keepNext/>
        <w:keepLines/>
      </w:pPr>
      <w:r>
        <w:t>BACKUP 03 — Detalle del cálculo IGM-CAPEC</w:t>
      </w:r>
    </w:p>
    <w:p>
      <w:r>
        <w:t>Fórmulas, pesos y criterios de codificación de cada subíndice para auditores y técnicos que quieran verificar el modelo.</w:t>
      </w:r>
    </w:p>
    <w:p>
      <w:pPr>
        <w:pStyle w:val="Heading3"/>
        <w:keepNext/>
        <w:keepLines/>
      </w:pPr>
      <w:r>
        <w:t>BACKUP 04 — Mapeo normativo completo</w:t>
      </w:r>
    </w:p>
    <w:p>
      <w:r>
        <w:t>Tabla de mapeo pregunta ↔ requisito normativo (extracto del Documento D del kit).</w:t>
      </w:r>
    </w:p>
    <w:p>
      <w:pPr>
        <w:pStyle w:val="Heading3"/>
        <w:keepNext/>
        <w:keepLines/>
      </w:pPr>
      <w:r>
        <w:t>BACKUP 05 — Análisis detallado de brechas en IA adversarial</w:t>
      </w:r>
    </w:p>
    <w:p>
      <w:r>
        <w:t>Detalle de los 6 tipos de ataque adversarial con referencias NIST AI 100-2e2025 y recomendaciones de mitigación por tipo.</w:t>
      </w:r>
    </w:p>
    <w:p>
      <w:pPr>
        <w:pStyle w:val="Heading3"/>
        <w:keepNext/>
        <w:keepLines/>
      </w:pPr>
      <w:r>
        <w:t>BACKUP 06 — Glosario de términos CAPEC</w:t>
      </w:r>
    </w:p>
    <w:p>
      <w:r>
        <w:t>Definición de los términos clave del catálogo CAPEC: Likelihood_Of_Attack, Typical_Severity, Susceptibility Indicators, Execution Flow, Abstraction Levels.</w:t>
      </w:r>
    </w:p>
    <w:p>
      <w:pPr>
        <w:pStyle w:val="Heading2"/>
        <w:keepNext/>
        <w:keepLines/>
      </w:pPr>
      <w:r>
        <w:rPr>
          <w:color w:val="0066CC"/>
        </w:rPr>
        <w:t>ADAPTACIONES POR AUDIENCIA</w:t>
      </w:r>
    </w:p>
    <w:p>
      <w:pPr>
        <w:pStyle w:val="Heading3"/>
        <w:keepNext/>
        <w:keepLines/>
      </w:pPr>
      <w:r>
        <w:t>Versión Consejo de Administración (12 slides)</w:t>
      </w:r>
    </w:p>
    <w:p>
      <w:r>
        <w:t>Eliminar: 06 (metodología), 11-13 (detalles técnicos emergentes)</w:t>
      </w:r>
      <w:r/>
      <w:r>
        <w:br/>
        <w:t>Mantener: 03, 04, 08, 09, 10 (resumida), 14, 16, 17, 18</w:t>
      </w:r>
      <w:r/>
      <w:r>
        <w:br/>
        <w:t>Énfasis: ROSI, sanciones, posición sectorial, decisión de inversión</w:t>
      </w:r>
    </w:p>
    <w:p>
      <w:pPr>
        <w:pStyle w:val="Heading3"/>
        <w:keepNext/>
        <w:keepLines/>
      </w:pPr>
      <w:r>
        <w:t>Versión Regulador / Auditor (15 slides)</w:t>
      </w:r>
    </w:p>
    <w:p>
      <w:r>
        <w:t>Incluir: todas las diapositivas técnicas</w:t>
      </w:r>
      <w:r/>
      <w:r>
        <w:br/>
        <w:t>Añadir: backup 03 y 04 como parte del flujo principal</w:t>
      </w:r>
      <w:r/>
      <w:r>
        <w:br/>
        <w:t>Énfasis: cumplimiento normativo, gaps identificados, plan de remediación con fechas</w:t>
      </w:r>
    </w:p>
    <w:p>
      <w:pPr>
        <w:pStyle w:val="Heading3"/>
        <w:keepNext/>
        <w:keepLines/>
      </w:pPr>
      <w:r>
        <w:t>Versión Equipo Técnico / CISO (18 slides + todos los backup)</w:t>
      </w:r>
    </w:p>
    <w:p>
      <w:r>
        <w:t>Presentación completa con todos los backups</w:t>
      </w:r>
      <w:r/>
      <w:r>
        <w:br/>
        <w:t>Énfasis: métricas técnicas, patrones CAPEC específicos, plan de acción con detalles de implementación</w:t>
      </w:r>
    </w:p>
    <w:p>
      <w:r>
        <w:rPr>
          <w:i/>
        </w:rPr>
        <w:t>Kit de Encuesta CAPEC-ESP · Documento F: Plantilla PowerPoint Ejecutivo · Versión 1.0 · Abril 2026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