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EXCEL — CÁLCULO IGM-CAPEC Y ROI/ROSI</w:t>
      </w:r>
    </w:p>
    <w:p>
      <w:pPr>
        <w:pStyle w:val="Heading2"/>
        <w:keepNext/>
        <w:keepLines/>
      </w:pPr>
      <w:r>
        <w:rPr>
          <w:color w:val="0066CC"/>
        </w:rPr>
        <w:t>Especificación Técnica Completa para Implementación</w:t>
      </w:r>
    </w:p>
    <w:p>
      <w:pPr>
        <w:pStyle w:val="Heading3"/>
        <w:keepNext/>
        <w:keepLines/>
      </w:pPr>
      <w:r>
        <w:t>Kit GQM+PRAGMATIC CAPEC-ESP · Documento E · Versión 1.0 · Abril 2026</w:t>
      </w:r>
    </w:p>
    <w:p>
      <w:r>
        <w:rPr>
          <w:i/>
        </w:rPr>
        <w:t>«Una hoja Excel bien diseñada es el puente entre el rigor metodológico y el ejecutivo que necesita un número para defender el presupuesto de ciberseguridad ante el Consejo. Que ese número esté bien calculado es, precisamente, la diferencia entre un argumento y una anécdota.»</w:t>
      </w:r>
    </w:p>
    <w:p>
      <w:pPr>
        <w:pStyle w:val="Heading2"/>
        <w:keepNext/>
        <w:keepLines/>
      </w:pPr>
      <w:r>
        <w:rPr>
          <w:color w:val="0066CC"/>
        </w:rPr>
        <w:t>ESTRUCTURA GENERAL DEL LIBRO EXCEL</w:t>
      </w:r>
    </w:p>
    <w:p>
      <w:r>
        <w:t xml:space="preserve">El libro Excel del Kit GQM+PRAGMATIC CAPEC-ESP consta de </w:t>
      </w:r>
      <w:r>
        <w:rPr>
          <w:b/>
        </w:rPr>
        <w:t>8 hojas</w:t>
      </w:r>
      <w:r>
        <w:t xml:space="preserve"> con las siguientes funciones: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de Hoja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 de Pestaña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Principal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oscuro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Panel de navegación, instrucciones y estado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DATOS_ENCUESTA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Gris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de datos brutos de la encuesta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IGM_CAPEC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del Índice Global de Madurez CAPEC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PRAGMATIC_SCORES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PRAGMATIC de cada métrica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ROSI_CALCULATOR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Naranja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 ROI de Seguridad (ROSI/FAIR)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 oscuro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Panel ejecutivo con gráficos e indicadores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Comparación sectorial y por tamaño de organización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PLAN_ACCION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Verde oscuro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Hoja de ruta de mejora basada en resultados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1: INICIO — Panel de Navegación</w:t>
      </w:r>
    </w:p>
    <w:p>
      <w:pPr>
        <w:pStyle w:val="Heading3"/>
        <w:keepNext/>
        <w:keepLines/>
      </w:pPr>
      <w:r>
        <w:t>Estructura de la hoja INICIO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1: Título: "Kit GQM+PRAGMATIC CAPEC-ESP v1.0 — [Nombre Organización]"</w:t>
        <w:br/>
        <w:t>Fila 2: Fecha de última actualización: [Fórmula =HOY()]</w:t>
        <w:br/>
        <w:t>Fila 3-5: Bloque de identificación de la organización</w:t>
        <w:br/>
        <w:t>Filas 7-20: Panel de estado de implementación (semáforo por hoja)</w:t>
        <w:br/>
        <w:t>Filas 22-40: Instrucciones de uso</w:t>
        <w:br/>
      </w:r>
    </w:p>
    <w:p>
      <w:pPr>
        <w:pStyle w:val="Heading3"/>
        <w:keepNext/>
        <w:keepLines/>
      </w:pPr>
      <w:r>
        <w:t>Campos de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Validación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Nombre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Libre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Sector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Lista: Energía; Transporte; Banca; Infraestructura mercados; Salud; Agua; Digital; Administración; Otro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Lista: Grande (&gt;250 emp.); Mediana (50-250); Pequeña (&lt;50)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 evaluación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Formato DD/MM/AAAA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Libre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Categoría ENS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Lista desplegable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Lista: Alta; Media; Básica; No aplica</w:t>
            </w:r>
          </w:p>
        </w:tc>
      </w:tr>
    </w:tbl>
    <w:p/>
    <w:p>
      <w:pPr>
        <w:pStyle w:val="Heading3"/>
        <w:keepNext/>
        <w:keepLines/>
      </w:pPr>
      <w:r>
        <w:t>Panel de estado (semáforo)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D10: =SI(DATOS_ENCUESTA!C5&lt;&gt;"","✅ DATOS INTRODUCIDOS","⬜ PENDIENTE")</w:t>
        <w:br/>
        <w:t>Celda D11: =SI(IGM_CAPEC!B50&gt;0,"✅ IGM CALCULADO","⬜ PENDIENTE")</w:t>
        <w:br/>
        <w:t>Celda D12: =SI(ROSI_CALCULATOR!B30&gt;0,"✅ ROSI CALCULADO","⬜ PENDIENTE")</w:t>
        <w:br/>
      </w:r>
    </w:p>
    <w:p>
      <w:pPr>
        <w:pStyle w:val="Heading2"/>
        <w:keepNext/>
        <w:keepLines/>
      </w:pPr>
      <w:r>
        <w:rPr>
          <w:color w:val="0066CC"/>
        </w:rPr>
        <w:t>HOJA 2: DATOS_ENCUESTA — Entrada de Datos</w:t>
      </w:r>
    </w:p>
    <w:p>
      <w:pPr>
        <w:pStyle w:val="Heading3"/>
        <w:keepNext/>
        <w:keepLines/>
      </w:pPr>
      <w:r>
        <w:t>Estructura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Col.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ID_Pregunta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P01, P02, ... P50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S1_Gobernanza, S2_Software, etc.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Texto_Pregunta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 completa (protegida)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Métrica_CAPEC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M-SW-1.1, M-IS-1.1, etc.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Respuesta_Cuantitativa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 numérico directo (si aplica)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Respuesta_Likert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entero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Respuesta_Binaria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 o 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Respuesta_Porcentaje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0%-100%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Notas_Respondente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libre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Fuente_Verificación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Documento de 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Fecha_Dato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del dato reportado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Confianza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1=Baja; 2=Media; 3=Alta</w:t>
            </w:r>
          </w:p>
        </w:tc>
      </w:tr>
    </w:tbl>
    <w:p/>
    <w:p>
      <w:pPr>
        <w:pStyle w:val="Heading3"/>
        <w:keepNext/>
        <w:keepLines/>
      </w:pPr>
      <w:r>
        <w:t>Tabla de preguntas por sección</w:t>
      </w:r>
    </w:p>
    <w:p>
      <w:pPr>
        <w:pStyle w:val="Heading4"/>
        <w:keepNext/>
        <w:keepLines/>
      </w:pPr>
      <w:r>
        <w:t>SECCIÓN 1: GOBERNANZA (P01-P07)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¿Con qué frecuencia reporta el CISO al Consejo métricas CAPEC?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M-GOV-1.1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Directa: E5/5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¿El Consejo ha recibido formación específica en ciberseguridad en los últimos 12 meses?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M-GOV-1.3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G6 *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¿Cuántos KRIs basados en CAPEC se reportan al Consejo?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M-GOV-1.3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 (0-15)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MIN(E7/15, 1)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un inventario formal de activos críticos mapeado a patrones CAPEC?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M-GOV-1.2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E8/5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¿La política de gestión de riesgos referencia explícitamente CAPEC?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M-GOV-1.2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G9 *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realizan revisiones formales del modelo de amenazas CAPEC?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M-GOV-1.2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E10/5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P07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Presupuesto de ciberseguridad como % del presupuesto TI total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M-GOV-1.2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MIN(H11/0.15, 1)</w:t>
            </w:r>
          </w:p>
        </w:tc>
      </w:tr>
    </w:tbl>
    <w:p/>
    <w:p>
      <w:pPr>
        <w:pStyle w:val="Heading4"/>
        <w:keepNext/>
        <w:keepLines/>
      </w:pPr>
      <w:r>
        <w:t>SECCIÓN 2: SOFTWARE Y DESARROLLO SEGURO (P08-P14)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patrones CAPEC Software (Likelihood=High) con control verificado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M-SW-1.1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H12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medio para incidentes de dominio Software (horas)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M-SW-1.2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MAX(0, 1-(E13/24))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 de CVEs activos críticos sin plan de remediación &lt; 15 días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M-SW-1.3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MAX(0, 1-(E14/10))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defectos SAST/DAST CAPEC remediados antes de producción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M-SW-2.1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H15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pipeline CI/CD con quality gates de seguridad?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M-SW-2.1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E16/5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¿Los desarrolladores reciben formación en patrones CAPEC?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M-SW-1.1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E17/5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P14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¿Se realizan pruebas de penetración alineadas con CAPEC?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M-SW-1.1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E18/5</w:t>
            </w:r>
          </w:p>
        </w:tc>
      </w:tr>
    </w:tbl>
    <w:p/>
    <w:p>
      <w:pPr>
        <w:pStyle w:val="Heading4"/>
        <w:keepNext/>
        <w:keepLines/>
      </w:pPr>
      <w:r>
        <w:t>SECCIÓN 3: INGENIERÍA SOCIAL (P15-P21)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Tasa de clic en simulaciones de phishing (último trimestre)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M-IS-1.1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MAX(0, 1-H19)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campañas de simulación de phishing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M-IS-1.1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E20/5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incidentes IS clasificados con ID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M-IS-1.2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H21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MTTC para ataques de ingeniería social (minutos)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M-IS-1.3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MAX(0, 1-(E22/240))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programa formal de concienciación por perfil de riesgo?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M-IS-1.1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E23/5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personal con formación anti-phishing en los últimos 6 meses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M-IS-1.1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H24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P21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¿Se realizan simulaciones de vishing y smishing (CAPEC-163)?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M-IS-1.1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G25 * 1</w:t>
            </w:r>
          </w:p>
        </w:tc>
      </w:tr>
    </w:tbl>
    <w:p/>
    <w:p>
      <w:pPr>
        <w:pStyle w:val="Heading4"/>
        <w:keepNext/>
        <w:keepLines/>
      </w:pPr>
      <w:r>
        <w:t>SECCIÓN 4: CADENA DE SUMINISTRO (P22-P28)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componentes SW terceros con SBOM generado y verificado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M-SC-1.1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H26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proceso formal de evaluación de riesgo de proveedores TIC?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M-SC-1.1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E27/5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Ratio detección pre-producción vulns 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M-SC-1.2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H28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vulns supply chain críticas (días)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M-SC-1.3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MAX(0, 1-(E29/90))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¿Los contratos con proveedores TIC incluyen cláusulas de ciberseguridad?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M-SC-1.1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E30/5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verifican las cadenas de custodia de los artefactos software (firmas)?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M-SC-1.2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E31/5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P28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¿Existe proceso de evaluación de seguridad de componentes open source?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M-SC-1.1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E32/5</w:t>
            </w:r>
          </w:p>
        </w:tc>
      </w:tr>
    </w:tbl>
    <w:p/>
    <w:p>
      <w:pPr>
        <w:pStyle w:val="Heading4"/>
        <w:keepNext/>
        <w:keepLines/>
      </w:pPr>
      <w:r>
        <w:t>SECCIÓN 5: COMUNICACIONES Y CRIPTOGRAFÍA (P29-P34)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tráfico de red protegido con TLS 1.3 o mTLS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M-NET-1.1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H33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 de certificados TLS con algoritmos vulnerables (SHA-1, RSA&lt;2048)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M-NET-1.2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MAX(0, 1-(E34/10))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inventario criptográfico completo actualizado?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M-PQC-1.1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E35/5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algoritmos criptográficos catalogados y evaluados vs. quantum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M-PQC-1.1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H36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sistemas con datos longa vida migrados o en migración a PQC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M-PQC-1.2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H37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P34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¿Existe plan formal de migración post-cuántica con hitos?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M-PQC-1.2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E38/5</w:t>
            </w:r>
          </w:p>
        </w:tc>
      </w:tr>
    </w:tbl>
    <w:p/>
    <w:p>
      <w:pPr>
        <w:pStyle w:val="Heading4"/>
        <w:keepNext/>
        <w:keepLines/>
      </w:pPr>
      <w:r>
        <w:t>SECCIÓN 6: HARDWARE Y OT (P35-P40)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dispositivos críticos con firmware verificado y actualizado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M-HW-1.1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H39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proceso de verificación criptográfica de firmware?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M-HW-1.1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E40/5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activos OT críticos segmentados del entorno IT (verificado)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M-OT-1.1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H41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aplica el modelo Purdue o IEC 62443 como referencia de segmentación?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M-OT-1.1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E42/5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inventario diferenciado de activos IT y OT?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M-OT-1.1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G43 *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P40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Frecuencia de auditorías de segmentación IT/OT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M-OT-1.1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E44/5</w:t>
            </w:r>
          </w:p>
        </w:tc>
      </w:tr>
    </w:tbl>
    <w:p/>
    <w:p>
      <w:pPr>
        <w:pStyle w:val="Heading4"/>
        <w:keepNext/>
        <w:keepLines/>
      </w:pPr>
      <w:r>
        <w:t>SECCIÓN 7: IA ADVERSARIAL (P41-P45)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modelos IA en producción con controles adversariales probados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M-AI-1.1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H45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registro formal de modelos de IA (model registry)?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M-AI-1.1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G46 *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Nivel de madurez del proceso de Prompt Injection Testing (0-4)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M-AI-1.2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E47/4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¿Se realizan evaluaciones de red teaming adversarial sobre modelos IA?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M-AI-1.1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E48/5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P45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¿Existe política formal de seguridad de IA (AI security policy)?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M-AI-1.1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G49 * 1</w:t>
            </w:r>
          </w:p>
        </w:tc>
      </w:tr>
    </w:tbl>
    <w:p/>
    <w:p>
      <w:pPr>
        <w:pStyle w:val="Heading4"/>
        <w:keepNext/>
        <w:keepLines/>
      </w:pPr>
      <w:r>
        <w:t>SECCIÓN 8: RESILIENCIA Y CONTINUIDAD (P46-P50)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Respuesta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de Normalización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patrones CAPEC alta severidad del sector incluidos en BCP/DRP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M-RES-1.2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Porcentaje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H50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Número de tabletop exercises con escenarios CAPEC en el último 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M-RES-1.3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MIN(E51/4, 1)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¿El BCP incluye escenarios de ransomware alineados con CAPEC-549?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M-RES-1.2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Binaria (0/1)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G52 * 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¿El RTO definido por tipo de activo ha sido probado en ejercicio real?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M-RES-1.1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Likert 1-5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E53/5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P50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Tiempo desde el último ejercicio de recuperación completo (meses)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M-RES-1.1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Cuantitativa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MAX(0, 1-(E54/12))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3: IGM_CAPEC — Cálculo del Índice Global de Madurez</w:t>
      </w:r>
    </w:p>
    <w:p>
      <w:pPr>
        <w:pStyle w:val="Heading3"/>
        <w:keepNext/>
        <w:keepLines/>
      </w:pPr>
      <w:r>
        <w:t>Fórmula maestra del IGM-CAPEC</w:t>
      </w:r>
    </w:p>
    <w:p>
      <w:r>
        <w:t>El IGM-CAPEC es un índice ponderado que agrega los 8 dominios en un valor entre 0 y 5: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IGM-CAPEC = (w_GOV × IGD_GOV) + (w_SW × IGD_SW) + (w_IS × IGD_IS) + </w:t>
        <w:br/>
        <w:t xml:space="preserve">            (w_SC × IGD_SC) + (w_NET × IGD_NET) + (w_HW × IGD_HW) + </w:t>
        <w:br/>
        <w:t xml:space="preserve">            (w_OT × IGD_OT) + (w_AI × IGD_AI) + (w_RES × IGD_RES)</w:t>
        <w:br/>
      </w:r>
    </w:p>
    <w:p>
      <w:pPr>
        <w:pStyle w:val="Heading3"/>
        <w:keepNext/>
        <w:keepLines/>
      </w:pPr>
      <w:r>
        <w:t>Pesos por dominio (configurables)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defecto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peso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w_GOV —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habilita todos los demás dominios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w_SW — Software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Mayor superficie de ataque en organizaciones digitales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w_IS — Ingeniería Social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Vector de entrada más frecuente en incidentes graves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w_SC — Supply Chain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Crecimiento exponencial del vector (2024-2025)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w_NET — Comunicaciones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tecnológica; controlada por controles criptográficos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w_HW — Hardware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0,07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 pero con menor frecuencia de explotación exitosa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w_OT — ICS/OT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Solo para organizaciones con activos OT (ajustar a 0 si no aplica)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w_AI — IA Adversarial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 bajo por madurez emergente; aumentar en 2027-2028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w_RES — Resiliencia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Capacidad de recuperación como complemento a prevención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B14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1,00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Verificación: =SUMA(B5:B13) — debe ser exactamente 1,00</w:t>
            </w:r>
          </w:p>
        </w:tc>
      </w:tr>
    </w:tbl>
    <w:p/>
    <w:p>
      <w:r>
        <w:rPr>
          <w:b/>
        </w:rPr>
        <w:t>Validación de pesos: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B15: =SI(SUMA(B5:B13)=1,"✅ Pesos válidos","⚠️ REVISAR: los pesos no suman 1,00")</w:t>
        <w:br/>
      </w:r>
    </w:p>
    <w:p>
      <w:pPr>
        <w:pStyle w:val="Heading3"/>
        <w:keepNext/>
        <w:keepLines/>
      </w:pPr>
      <w:r>
        <w:t>Cálculo de puntuaciones por dominio</w:t>
      </w:r>
    </w:p>
    <w:p>
      <w:pPr>
        <w:pStyle w:val="Heading4"/>
        <w:keepNext/>
        <w:keepLines/>
      </w:pPr>
      <w:r>
        <w:t>Dominio Gobernanza (IGD_GOV)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E5: =PROMEDIO(</w:t>
        <w:br/>
        <w:t xml:space="preserve">    DATOS_ENCUESTA!E5/5,              [P01 - Frecuencia reporte Consejo]</w:t>
        <w:br/>
        <w:t xml:space="preserve">    DATOS_ENCUESTA!G6,                 [P02 - Formación directivos]</w:t>
        <w:br/>
        <w:t xml:space="preserve">    MIN(DATOS_ENCUESTA!E7/15,1),      [P03 - KRIs CAPEC reportados]</w:t>
        <w:br/>
        <w:t xml:space="preserve">    DATOS_ENCUESTA!E8/5,              [P04 - Inventario activos mapeado]</w:t>
        <w:br/>
        <w:t xml:space="preserve">    DATOS_ENCUESTA!G9,                 [P05 - Política referencia CAPEC]</w:t>
        <w:br/>
        <w:t xml:space="preserve">    DATOS_ENCUESTA!E10/5,             [P06 - Revisiones modelo amenazas]</w:t>
        <w:br/>
        <w:t xml:space="preserve">    MIN(DATOS_ENCUESTA!H11/0.15,1)    [P07 - % presupuesto seguridad]</w:t>
        <w:br/>
        <w:t xml:space="preserve">    )</w:t>
        <w:br/>
      </w:r>
    </w:p>
    <w:p>
      <w:r>
        <w:t>Puntuación IGD_GOV en escala 1-5: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F5: =E5*5</w:t>
        <w:br/>
      </w:r>
    </w:p>
    <w:p>
      <w:pPr>
        <w:pStyle w:val="Heading4"/>
        <w:keepNext/>
        <w:keepLines/>
      </w:pPr>
      <w:r>
        <w:t>Dominio Software (IGD_SW)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E6: =PROMEDIO(</w:t>
        <w:br/>
        <w:t xml:space="preserve">    DATOS_ENCUESTA!H12,               [P08 - Cobertura M-SW-1.1]</w:t>
        <w:br/>
        <w:t xml:space="preserve">    MAX(0,1-(DATOS_ENCUESTA!E13/24)), [P09 - MTTD normalizado M-SW-1.2]</w:t>
        <w:br/>
        <w:t xml:space="preserve">    MAX(0,1-(DATOS_ENCUESTA!E14/10)),[P10 - CVEs sin plan M-SW-1.3]</w:t>
        <w:br/>
        <w:t xml:space="preserve">    DATOS_ENCUESTA!H15,               [P11 - Remediación pre-prod M-SW-2.1]</w:t>
        <w:br/>
        <w:t xml:space="preserve">    DATOS_ENCUESTA!E16/5,             [P12 - Pipeline CI/CD M-SW-2.1]</w:t>
        <w:br/>
        <w:t xml:space="preserve">    DATOS_ENCUESTA!E17/5,             [P13 - Formación desarrolladores]</w:t>
        <w:br/>
        <w:t xml:space="preserve">    DATOS_ENCUESTA!E18/5              [P14 - Pruebas penetración CAPEC]</w:t>
        <w:br/>
        <w:t xml:space="preserve">    )</w:t>
        <w:br/>
        <w:t>F6: =E6*5</w:t>
        <w:br/>
      </w:r>
    </w:p>
    <w:p>
      <w:pPr>
        <w:pStyle w:val="Heading4"/>
        <w:keepNext/>
        <w:keepLines/>
      </w:pPr>
      <w:r>
        <w:t>Dominio Ingeniería Social (IGD_IS)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E7: =PROMEDIO(</w:t>
        <w:br/>
        <w:t xml:space="preserve">    MAX(0,1-DATOS_ENCUESTA!H19),      [P15 - Tasa clic invertida M-IS-1.1]</w:t>
        <w:br/>
        <w:t xml:space="preserve">    DATOS_ENCUESTA!E20/5,             [P16 - Frecuencia simulaciones]</w:t>
        <w:br/>
        <w:t xml:space="preserve">    DATOS_ENCUESTA!H21,               [P17 - Clasificación CAPEC incidentes]</w:t>
        <w:br/>
        <w:t xml:space="preserve">    MAX(0,1-(DATOS_ENCUESTA!E22/240)),[P18 - MTTC normalizado M-IS-1.3]</w:t>
        <w:br/>
        <w:t xml:space="preserve">    DATOS_ENCUESTA!E23/5,             [P19 - Programa concienciación formal]</w:t>
        <w:br/>
        <w:t xml:space="preserve">    DATOS_ENCUESTA!H24,               [P20 - % personal formado]</w:t>
        <w:br/>
        <w:t xml:space="preserve">    DATOS_ENCUESTA!G25                [P21 - Simulaciones vishing/smishing]</w:t>
        <w:br/>
        <w:t xml:space="preserve">    )</w:t>
        <w:br/>
        <w:t>F7: =E7*5</w:t>
        <w:br/>
      </w:r>
    </w:p>
    <w:p>
      <w:pPr>
        <w:pStyle w:val="Heading4"/>
        <w:keepNext/>
        <w:keepLines/>
      </w:pPr>
      <w:r>
        <w:t>Dominio Supply Chain (IGD_SC)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E8: =PROMEDIO(</w:t>
        <w:br/>
        <w:t xml:space="preserve">    DATOS_ENCUESTA!H26,               [P22 - Cobertura SBOM M-SC-1.1]</w:t>
        <w:br/>
        <w:t xml:space="preserve">    DATOS_ENCUESTA!E27/5,             [P23 - Proceso evaluación proveedores]</w:t>
        <w:br/>
        <w:t xml:space="preserve">    DATOS_ENCUESTA!H28,               [P24 - Ratio detección pre-prod M-SC-1.2]</w:t>
        <w:br/>
        <w:t xml:space="preserve">    MAX(0,1-(DATOS_ENCUESTA!E29/90)), [P25 - MTTR normalizado M-SC-1.3]</w:t>
        <w:br/>
        <w:t xml:space="preserve">    DATOS_ENCUESTA!E30/5,             [P26 - Cláusulas seguridad contratos]</w:t>
        <w:br/>
        <w:t xml:space="preserve">    DATOS_ENCUESTA!E31/5,             [P27 - Verificación cadena custodia]</w:t>
        <w:br/>
        <w:t xml:space="preserve">    DATOS_ENCUESTA!E32/5              [P28 - Evaluación open source]</w:t>
        <w:br/>
        <w:t xml:space="preserve">    )</w:t>
        <w:br/>
        <w:t>F8: =E8*5</w:t>
        <w:br/>
      </w:r>
    </w:p>
    <w:p>
      <w:pPr>
        <w:pStyle w:val="Heading4"/>
        <w:keepNext/>
        <w:keepLines/>
      </w:pPr>
      <w:r>
        <w:t>Dominio Comunicaciones (IGD_NET)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E9: =PROMEDIO(</w:t>
        <w:br/>
        <w:t xml:space="preserve">    DATOS_ENCUESTA!H33,               [P29 - Cobertura TLS M-NET-1.1]</w:t>
        <w:br/>
        <w:t xml:space="preserve">    MAX(0,1-(DATOS_ENCUESTA!E34/10)), [P30 - Certificados vulnerables M-NET-1.2]</w:t>
        <w:br/>
        <w:t xml:space="preserve">    DATOS_ENCUESTA!E35/5,             [P31 - Inventario criptográfico M-PQC-1.1]</w:t>
        <w:br/>
        <w:t xml:space="preserve">    DATOS_ENCUESTA!H36,               [P32 - Cobertura inventory PQC]</w:t>
        <w:br/>
        <w:t xml:space="preserve">    DATOS_ENCUESTA!H37,               [P33 - Progreso migración PQC M-PQC-1.2]</w:t>
        <w:br/>
        <w:t xml:space="preserve">    DATOS_ENCUESTA!E38/5              [P34 - Plan migración PQC formal]</w:t>
        <w:br/>
        <w:t xml:space="preserve">    )</w:t>
        <w:br/>
        <w:t>F9: =E9*5</w:t>
        <w:br/>
      </w:r>
    </w:p>
    <w:p>
      <w:pPr>
        <w:pStyle w:val="Heading4"/>
        <w:keepNext/>
        <w:keepLines/>
      </w:pPr>
      <w:r>
        <w:t>Dominio Hardware (IGD_HW)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E10: =PROMEDIO(</w:t>
        <w:br/>
        <w:t xml:space="preserve">    DATOS_ENCUESTA!H39,               [P35 - Cobertura firmware M-HW-1.1]</w:t>
        <w:br/>
        <w:t xml:space="preserve">    DATOS_ENCUESTA!E40/5              [P36 - Proceso verificación firmware]</w:t>
        <w:br/>
        <w:t xml:space="preserve">    )</w:t>
        <w:br/>
        <w:t>F10: =E10*5</w:t>
        <w:br/>
      </w:r>
    </w:p>
    <w:p>
      <w:pPr>
        <w:pStyle w:val="Heading4"/>
        <w:keepNext/>
        <w:keepLines/>
      </w:pPr>
      <w:r>
        <w:t>Dominio OT/ICS (IGD_OT)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E11: =PROMEDIO(</w:t>
        <w:br/>
        <w:t xml:space="preserve">    DATOS_ENCUESTA!H41,               [P37 - Segmentación OT M-OT-1.1]</w:t>
        <w:br/>
        <w:t xml:space="preserve">    DATOS_ENCUESTA!E42/5,             [P38 - Modelo referencia IEC 62443]</w:t>
        <w:br/>
        <w:t xml:space="preserve">    DATOS_ENCUESTA!G43,               [P39 - Inventario IT/OT diferenciado]</w:t>
        <w:br/>
        <w:t xml:space="preserve">    DATOS_ENCUESTA!E44/5              [P40 - Auditorías segmentación]</w:t>
        <w:br/>
        <w:t xml:space="preserve">    )</w:t>
        <w:br/>
        <w:t>F11: =E11*5</w:t>
        <w:br/>
      </w:r>
    </w:p>
    <w:p>
      <w:pPr>
        <w:pStyle w:val="Heading4"/>
        <w:keepNext/>
        <w:keepLines/>
      </w:pPr>
      <w:r>
        <w:t>Dominio IA Adversarial (IGD_AI)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E12: =PROMEDIO(</w:t>
        <w:br/>
        <w:t xml:space="preserve">    DATOS_ENCUESTA!H45,               [P41 - Cobertura controles IA M-AI-1.1]</w:t>
        <w:br/>
        <w:t xml:space="preserve">    DATOS_ENCUESTA!G46,               [P42 - Model registry]</w:t>
        <w:br/>
        <w:t xml:space="preserve">    DATOS_ENCUESTA!E47/4,             [P43 - Madurez Prompt Injection M-AI-1.2]</w:t>
        <w:br/>
        <w:t xml:space="preserve">    DATOS_ENCUESTA!E48/5,             [P44 - Red teaming adversarial]</w:t>
        <w:br/>
        <w:t xml:space="preserve">    DATOS_ENCUESTA!G49                [P45 - Política seguridad IA]</w:t>
        <w:br/>
        <w:t xml:space="preserve">    )</w:t>
        <w:br/>
        <w:t>F12: =E12*5</w:t>
        <w:br/>
      </w:r>
    </w:p>
    <w:p>
      <w:pPr>
        <w:pStyle w:val="Heading4"/>
        <w:keepNext/>
        <w:keepLines/>
      </w:pPr>
      <w:r>
        <w:t>Dominio Resiliencia (IGD_RES)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E13: =PROMEDIO(</w:t>
        <w:br/>
        <w:t xml:space="preserve">    DATOS_ENCUESTA!H50,               [P46 - BCP con patrones CAPEC M-RES-1.2]</w:t>
        <w:br/>
        <w:t xml:space="preserve">    MIN(DATOS_ENCUESTA!E51/4,1),      [P47 - Tabletop exercises anuales]</w:t>
        <w:br/>
        <w:t xml:space="preserve">    DATOS_ENCUESTA!G52,               [P48 - BCP incluye ransomware CAPEC]</w:t>
        <w:br/>
        <w:t xml:space="preserve">    DATOS_ENCUESTA!E53/5,             [P49 - RTO probado en ejercicio]</w:t>
        <w:br/>
        <w:t xml:space="preserve">    MAX(0,1-(DATOS_ENCUESTA!E54/12))  [P50 - Recencia ejercicio recuperación]</w:t>
        <w:br/>
        <w:t xml:space="preserve">    )</w:t>
        <w:br/>
        <w:t>F13: =E13*5</w:t>
        <w:br/>
      </w:r>
    </w:p>
    <w:p>
      <w:pPr>
        <w:pStyle w:val="Heading3"/>
        <w:keepNext/>
        <w:keepLines/>
      </w:pPr>
      <w:r>
        <w:t>Cálculo del IGM-CAPEC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[Celda B20] IGM-CAPEC (normalizado 0-1):</w:t>
        <w:br/>
        <w:t>=B5*E5 + B6*E6 + B7*E7 + B8*E8 + B9*E9 + B10*E10 + B11*E11 + B12*E12 + B13*E13</w:t>
        <w:br/>
        <w:br/>
        <w:t>[Celda B21] IGM-CAPEC (escala 0-5):</w:t>
        <w:br/>
        <w:t>=B20*5</w:t>
        <w:br/>
        <w:br/>
        <w:t>[Celda B22] Nivel de Madurez:</w:t>
        <w:br/>
        <w:t>=SI(B21&gt;=4,"🟢 AVANZADO (4-5): Programa maduro con mejora continua",</w:t>
        <w:br/>
        <w:t xml:space="preserve"> SI(B21&gt;=3,"🟡 ESTABLECIDO (3-4): Controles implementados con brechas menores",</w:t>
        <w:br/>
        <w:t xml:space="preserve"> SI(B21&gt;=2,"🟠 EN DESARROLLO (2-3): Controles básicos; brechas significativas",</w:t>
        <w:br/>
        <w:t xml:space="preserve"> "🔴 INICIAL (0-2): Exposición alta; acción urgente requerida")))</w:t>
        <w:br/>
      </w:r>
    </w:p>
    <w:p>
      <w:pPr>
        <w:pStyle w:val="Heading3"/>
        <w:keepNext/>
        <w:keepLines/>
      </w:pPr>
      <w:r>
        <w:t>Tabla de tendencia (comparación histórica)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[dato previo]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[baseline]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C31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Q2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[dato previo]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=C31-C30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[dato previo]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=C32-C31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C33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Q4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[dato previo]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=C33-C32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C34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Q1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=B21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=C34-C33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5: ROSI_CALCULATOR — Cálculo de ROI de Seguridad</w:t>
      </w:r>
    </w:p>
    <w:p>
      <w:pPr>
        <w:pStyle w:val="Heading3"/>
        <w:keepNext/>
        <w:keepLines/>
      </w:pPr>
      <w:r>
        <w:t>Metodología ROSI (Return on Security Investment)</w:t>
      </w:r>
    </w:p>
    <w:p>
      <w:r>
        <w:t>La fórmula base del ROSI 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ROSI = (ALE_antes - ALE_después - Coste_control) / Coste_control × 100%</w:t>
        <w:br/>
        <w:br/>
        <w:t>Donde:</w:t>
        <w:br/>
        <w:t>ALE (Annual Loss Expectancy) = ARO × SLE</w:t>
        <w:br/>
        <w:t>ARO (Annual Rate of Occurrence) = Frecuencia anual de un tipo de incidente</w:t>
        <w:br/>
        <w:t>SLE (Single Loss Expectancy) = Coste medio por incidente de ese tipo</w:t>
        <w:br/>
      </w:r>
    </w:p>
    <w:p>
      <w:pPr>
        <w:pStyle w:val="Heading3"/>
        <w:keepNext/>
        <w:keepLines/>
      </w:pPr>
      <w:r>
        <w:t>Tabla de cálculo ROSI por dominio CAPEC</w:t>
      </w:r>
    </w:p>
    <w:p>
      <w:pPr>
        <w:pStyle w:val="Heading4"/>
        <w:keepNext/>
        <w:keepLines/>
      </w:pPr>
      <w:r>
        <w:t>Parámetros de entrada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defecto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de 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incidente Software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285.000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IBM Cost of Data Breach 2024 (ajustado España)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ARO incidente Software (sin controles)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0,45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 2025 + sector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incidente IS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185.000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ETL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ARO incidente IS (sin controles)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0,65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 frecuencia vector phishing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incidente Supply Chain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520.000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Ponemon 2024 Supply Chain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ARO incidente Supply Chain (sin controles)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creciente pero menor que phishing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incidente ransomware/OT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1.200.000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/ CCN-CERT 2024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B12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ARO incidente OT/ransomware (sin controles)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Alta consecuencia, menor frecuencia</w:t>
            </w:r>
          </w:p>
        </w:tc>
      </w:tr>
    </w:tbl>
    <w:p/>
    <w:p>
      <w:pPr>
        <w:pStyle w:val="Heading4"/>
        <w:keepNext/>
        <w:keepLines/>
      </w:pPr>
      <w:r>
        <w:t>Reducción de riesgo basada en IGM-CAPEC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[Celda D5] Factor de reducción de riesgo (Software):</w:t>
        <w:br/>
        <w:t>=MIN(IGM_CAPEC!E6 * 0.18, 0.85)</w:t>
        <w:br/>
        <w:t xml:space="preserve">[Explicación: un IGD_SW de 1,0 (máximo) reduce el riesgo un 85%; </w:t>
        <w:br/>
        <w:t>la relación es lineal con tope para evitar sobreestimación]</w:t>
        <w:br/>
        <w:br/>
        <w:t>[Celda D6] ALE Software ANTES de controles:</w:t>
        <w:br/>
        <w:t>=B5 * B6</w:t>
        <w:br/>
        <w:br/>
        <w:t>[Celda D7] ALE Software DESPUÉS de controles:</w:t>
        <w:br/>
        <w:t>=D6 * (1 - D5)</w:t>
        <w:br/>
        <w:br/>
        <w:t>[Celda D8] Coste anual controles Software (entrada manual):</w:t>
        <w:br/>
        <w:t>[Ingresar coste real de controles del dominio]</w:t>
        <w:br/>
        <w:br/>
        <w:t>[Celda D9] ROSI Software (%):</w:t>
        <w:br/>
        <w:t>=(D6 - D7 - D8) / D8 * 100</w:t>
        <w:br/>
      </w:r>
    </w:p>
    <w:p>
      <w:pPr>
        <w:pStyle w:val="Heading4"/>
        <w:keepNext/>
        <w:keepLines/>
      </w:pPr>
      <w:r>
        <w:t>Cálculo ROSI agregado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[Celda B40] ALE Total antes de todos los controles:</w:t>
        <w:br/>
        <w:t>=(B5*B6) + (B7*B8) + (B9*B10) + (B11*B12)</w:t>
        <w:br/>
        <w:br/>
        <w:t>[Celda B41] ALE Total después de controles CAPEC (ponderado por IGM):</w:t>
        <w:br/>
        <w:t>=B40 * (1 - IGM_CAPEC!B20 * 0.75)</w:t>
        <w:br/>
        <w:t>[Interpretación: un IGM-CAPEC de 1,0 reduce el ALE un 75%]</w:t>
        <w:br/>
        <w:br/>
        <w:t>[Celda B42] Coste total anual programa de controles:</w:t>
        <w:br/>
        <w:t>=SUMA(D8, D12, D16, D20)  [suma de costes por dominio]</w:t>
        <w:br/>
        <w:br/>
        <w:t>[Celda B43] ROSI Global (%):</w:t>
        <w:br/>
        <w:t>=(B40 - B41 - B42) / B42 * 100</w:t>
        <w:br/>
        <w:br/>
        <w:t>[Celda B44] Período de recuperación de la inversión (meses):</w:t>
        <w:br/>
        <w:t>=B42 / ((B40 - B41) / 12)</w:t>
        <w:br/>
        <w:br/>
        <w:t>[Celda B45] VAN del programa de seguridad a 3 años (tasa descuento 8%):</w:t>
        <w:br/>
        <w:t>=-B42 + ((B40-B41)/(1+0,08)) + ((B40-B41)/(1+0,08)^2) + ((B40-B41)/(1+0,08)^3)</w:t>
        <w:br/>
      </w:r>
    </w:p>
    <w:p>
      <w:pPr>
        <w:pStyle w:val="Heading2"/>
        <w:keepNext/>
        <w:keepLines/>
      </w:pPr>
      <w:r>
        <w:rPr>
          <w:color w:val="0066CC"/>
        </w:rPr>
        <w:t>HOJA 6: DASHBOARD — Panel Ejecutivo</w:t>
      </w:r>
    </w:p>
    <w:p>
      <w:pPr>
        <w:pStyle w:val="Heading3"/>
        <w:keepNext/>
        <w:keepLines/>
      </w:pPr>
      <w:r>
        <w:t>Gráficos a generar en Excel</w:t>
      </w:r>
    </w:p>
    <w:p>
      <w:pPr>
        <w:pStyle w:val="Heading4"/>
        <w:keepNext/>
        <w:keepLines/>
      </w:pPr>
      <w:r>
        <w:t>Gráfico 1: Radar Chart — IGM-CAPEC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Gráfico de radar (araña)</w:t>
        <w:br/>
        <w:t>Datos: F5:F13 (puntuaciones 1-5 por dominio)</w:t>
        <w:br/>
        <w:t>Categorías: Gobernanza, Software, Ing.Social, SupplyChain, Comunicaciones, Hardware, OT, IA, Resiliencia</w:t>
        <w:br/>
        <w:t>Umbral verde: Línea de referencia en 3,0</w:t>
        <w:br/>
        <w:t>Colores: Área &lt; 2: Rojo transparente; 2-3: Naranja transparente; &gt; 3: Verde transparente</w:t>
        <w:br/>
        <w:t>Título: "Índice de Madurez CAPEC por Dominio — [Nombre Org] — [Trimestre]"</w:t>
        <w:br/>
      </w:r>
    </w:p>
    <w:p>
      <w:pPr>
        <w:pStyle w:val="Heading4"/>
        <w:keepNext/>
        <w:keepLines/>
      </w:pPr>
      <w:r>
        <w:t>Gráfico 2: Gauge Chart — IGM-CAPEC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Medidor (simulado con gráfico de anillo)</w:t>
        <w:br/>
        <w:t>Valor: IGM_CAPEC!B21 (escala 0-5)</w:t>
        <w:br/>
        <w:t>Zonas: 0-2 Rojo; 2-3 Naranja; 3-4 Amarillo; 4-5 Verde</w:t>
        <w:br/>
      </w:r>
    </w:p>
    <w:p>
      <w:pPr>
        <w:pStyle w:val="Heading4"/>
        <w:keepNext/>
        <w:keepLines/>
      </w:pPr>
      <w:r>
        <w:t>Gráfico 3: Barras — Score PRAGMATIC vs.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Gráficas de barras horizontales dobles</w:t>
        <w:br/>
        <w:t>Eje X1: Score PRAGMATIC (calidad de la métrica, 0-5)</w:t>
        <w:br/>
        <w:t>Eje X2: Puntuación actual de implementación (0-5)</w:t>
        <w:br/>
        <w:t>Orden: De mayor a menor brecha (PRAGMATIC - Implementación)</w:t>
        <w:br/>
        <w:t>Interpretación: Mayor brecha = mayor prioridad de mejora</w:t>
        <w:br/>
      </w:r>
    </w:p>
    <w:p>
      <w:pPr>
        <w:pStyle w:val="Heading4"/>
        <w:keepNext/>
        <w:keepLines/>
      </w:pPr>
      <w:r>
        <w:t>Gráfico 4: Línea de tendencia — Evolución IGM-CAPEC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Gráfico de líneas</w:t>
        <w:br/>
        <w:t>Datos: IGM_CAPEC!C30:C34 (histórico trimestral)</w:t>
        <w:br/>
        <w:t>Línea de referencia: y = 3,0 (umbral "Establecido")</w:t>
        <w:br/>
        <w:t>Proyección: Tendencia lineal a 4 trimestres</w:t>
        <w:br/>
      </w:r>
    </w:p>
    <w:p>
      <w:pPr>
        <w:pStyle w:val="Heading3"/>
        <w:keepNext/>
        <w:keepLines/>
      </w:pPr>
      <w:r>
        <w:t>Panel de KPIs ejecutivos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[Dashboard!B10] IGM-CAPEC actual: =IGM_CAPEC!B21 (formato: 0,0)</w:t>
        <w:br/>
        <w:t>[Dashboard!B11] Tendencia vs. trimestre anterior: =IGM_CAPEC!C34-IGM_CAPEC!C33 (formato con flecha ▲▼)</w:t>
        <w:br/>
        <w:t>[Dashboard!B12] Dominio más fuerte: =INDICE({"GOV";"SW";"IS";"SC";"NET";"HW";"OT";"AI";"RES"},COINCIDIR(MAX(IGM_CAPEC!F5:F13),IGM_CAPEC!F5:F13,0))</w:t>
        <w:br/>
        <w:t>[Dashboard!B13] Dominio más crítico: =INDICE({"GOV";"SW";"IS";"SC";"NET";"HW";"OT";"AI";"RES"},COINCIDIR(MIN(IGM_CAPEC!F5:F13),IGM_CAPEC!F5:F13,0))</w:t>
        <w:br/>
        <w:t>[Dashboard!B14] ROSI Global: =ROSI_CALCULATOR!B43 (formato: 0,0%)</w:t>
        <w:br/>
        <w:t>[Dashboard!B15] Período recuperación inversión: =ROSI_CALCULATOR!B44 (formato: 0,0 " meses")</w:t>
        <w:br/>
      </w:r>
    </w:p>
    <w:p>
      <w:pPr>
        <w:pStyle w:val="Heading2"/>
        <w:keepNext/>
        <w:keepLines/>
      </w:pPr>
      <w:r>
        <w:rPr>
          <w:color w:val="0066CC"/>
        </w:rPr>
        <w:t>HOJA 7: BENCHMARK — Comparación Sectorial</w:t>
      </w:r>
    </w:p>
    <w:p>
      <w:pPr>
        <w:pStyle w:val="Heading3"/>
        <w:keepNext/>
        <w:keepLines/>
      </w:pPr>
      <w:r>
        <w:t>Valores de referencia para benchmarking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 NIS2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IGM-CAPEC Referencia (P50)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IGM-CAPEC Excelencia (P90)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Banca / Finanzas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3,2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4,1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NIS360 2024; DORA baseline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Energía / Utilities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2,8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3,7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ETL 2025 sector energía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2,4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3,3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NIS360 2024 sector salud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Administración Pública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2,6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3,5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CCN-CERT Informe ENS 2024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Transporte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2,5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3,4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2024 sector transporte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Telecomunicaciones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NIS360 2024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Manufactura / Industria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2,2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3,0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IBM X-Force 2025 sector industrial</w:t>
            </w:r>
          </w:p>
        </w:tc>
      </w:tr>
    </w:tbl>
    <w:p/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[Benchmark!B5] Sector seleccionado: =INICIO!B4</w:t>
        <w:br/>
        <w:t>[Benchmark!C5] IGM actual organización: =IGM_CAPEC!B21</w:t>
        <w:br/>
        <w:t xml:space="preserve">[Benchmark!D5] Referencia sectorial (P50): </w:t>
        <w:br/>
        <w:t>=BUSCARV(B5,{"Banca";3,2;"Energía";2,8;"Salud";2,4;"Adm. Pública";2,6;"Transporte";2,5;"Telecomunicaciones";3,0;"Manufactura";2,2},2,0)</w:t>
        <w:br/>
        <w:t>[Benchmark!E5] Brecha vs. referencia:</w:t>
        <w:br/>
        <w:t>=C5-D5</w:t>
        <w:br/>
        <w:t>[Benchmark!F5] Posicionamiento:</w:t>
        <w:br/>
        <w:t>=SI(C5&gt;=D5,"Por encima de la mediana sectorial","Por debajo de la mediana sectorial")</w:t>
        <w:br/>
      </w:r>
    </w:p>
    <w:p>
      <w:pPr>
        <w:pStyle w:val="Heading2"/>
        <w:keepNext/>
        <w:keepLines/>
      </w:pPr>
      <w:r>
        <w:rPr>
          <w:color w:val="0066CC"/>
        </w:rPr>
        <w:t>HOJA 8: PLAN_ACCION — Hoja de Ruta de Mejora</w:t>
      </w:r>
    </w:p>
    <w:p>
      <w:pPr>
        <w:pStyle w:val="Heading3"/>
        <w:keepNext/>
        <w:keepLines/>
      </w:pPr>
      <w:r>
        <w:t>Generación automática de prioridades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[Plan_Accion!A5:G20] Tabla de acciones por prioridad:</w:t>
        <w:br/>
        <w:br/>
        <w:t>Columna A: Dominio (de menor a mayor puntuación IGD)</w:t>
        <w:br/>
        <w:t>=ORDENAR({"GOV";"SW";"IS";"SC";"NET";"HW";"OT";"AI";"RES"},</w:t>
        <w:br/>
        <w:t xml:space="preserve">          IGM_CAPEC!F5:F13, 1) [ordenado por puntuación ascendente]</w:t>
        <w:br/>
        <w:br/>
        <w:t>Columna B: Puntuación actual IGD</w:t>
        <w:br/>
        <w:t>[Valor del dominio correspondiente de IGM_CAPEC!F5:F13]</w:t>
        <w:br/>
        <w:br/>
        <w:t>Columna C: Objetivo a 6 meses</w:t>
        <w:br/>
        <w:t>=B5 + 0,5 [mejora realista de +0,5 puntos en 6 meses]</w:t>
        <w:br/>
        <w:br/>
        <w:t>Columna D: Gap a cerrar</w:t>
        <w:br/>
        <w:t>=C5 - B5</w:t>
        <w:br/>
        <w:br/>
        <w:t>Columna E: Prioridad de acción (TOP 3 dominios con menor puntuación)</w:t>
        <w:br/>
        <w:t>=SI(JERARQUIA(B5,IGM_CAPEC!F5:F13,1)&lt;=3,"🔴 CRÍTICO","🟡 SEGUIMIENTO")</w:t>
        <w:br/>
        <w:br/>
        <w:t>Columna F: Acción principal recomendada</w:t>
        <w:br/>
        <w:t>=SI(B5&lt;2,</w:t>
        <w:br/>
        <w:t xml:space="preserve">    "Implementar controles básicos y establecer línea base de medición",</w:t>
        <w:br/>
        <w:t xml:space="preserve">    SI(B5&lt;3,</w:t>
        <w:br/>
        <w:t xml:space="preserve">        "Formalizar procesos y automatizar recolección de métricas",</w:t>
        <w:br/>
        <w:t xml:space="preserve">        SI(B5&lt;4,</w:t>
        <w:br/>
        <w:t xml:space="preserve">            "Optimizar controles existentes y reducir brechas específicas",</w:t>
        <w:br/>
        <w:t xml:space="preserve">            "Mantener y mejorar incrementalmente; compartir mejores prácticas")))</w:t>
        <w:br/>
        <w:br/>
        <w:t>Columna G: Responsable (entrada manual)</w:t>
        <w:br/>
      </w:r>
    </w:p>
    <w:p>
      <w:r>
        <w:rPr>
          <w:i/>
        </w:rPr>
        <w:t>Kit GQM+PRAGMATIC CAPEC-ESP · Documento E: Plantilla Excel IGM-CAPEC y ROSI · Versión 1.0 · Abril 2026</w:t>
      </w:r>
      <w:r/>
      <w:r>
        <w:br/>
      </w:r>
      <w:r>
        <w:rPr>
          <w:i/>
        </w:rPr>
        <w:t>Implementar con Microsoft Excel 365 o Google Sheets (ajustar sintaxis de fórmulas de array según plataforma)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