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keepLines/>
      </w:pPr>
      <w:r>
        <w:rPr>
          <w:color w:val="003366"/>
        </w:rPr>
        <w:t>🗺️ MAPEO GQM+PRAGMATIC → REQUISITOS NORMATIVOS</w:t>
      </w:r>
    </w:p>
    <w:p>
      <w:pPr>
        <w:pStyle w:val="Heading2"/>
        <w:keepNext/>
        <w:keepLines/>
      </w:pPr>
      <w:r>
        <w:rPr>
          <w:color w:val="0066CC"/>
        </w:rPr>
        <w:t>Trazabilidad de los 24 Indicadores CAPEC a Marcos Regulatorios</w:t>
      </w:r>
    </w:p>
    <w:p>
      <w:pPr>
        <w:pStyle w:val="Heading3"/>
        <w:keepNext/>
        <w:keepLines/>
      </w:pPr>
      <w:r>
        <w:t>Kit GQM+PRAGMATIC CAPEC-ESP · Documento D · Versión 1.0 · Abril 2026</w:t>
      </w:r>
    </w:p>
    <w:p>
      <w:r>
        <w:rPr>
          <w:i/>
        </w:rPr>
        <w:t>«Los reguladores escriben en artículos. Los técnicos miden en métricas. Esta tabla es el diccionario de traducción entre ambos lenguajes —para que, llegado el día de la auditoría, nadie tenga que improvisar.»</w:t>
      </w:r>
    </w:p>
    <w:p>
      <w:pPr>
        <w:pStyle w:val="Heading2"/>
        <w:keepNext/>
        <w:keepLines/>
      </w:pPr>
      <w:r>
        <w:rPr>
          <w:color w:val="0066CC"/>
        </w:rPr>
        <w:t>ABREVIATURAS DE MARCOS NORMATIVOS</w:t>
      </w:r>
    </w:p>
    <w:tbl>
      <w:tblPr>
        <w:tblStyle w:val="LightGrid-Accent1"/>
        <w:tblW w:type="auto" w:w="0"/>
        <w:tblLook w:firstColumn="1" w:firstRow="1" w:lastColumn="0" w:lastRow="0" w:noHBand="0" w:noVBand="1" w:val="04A0"/>
      </w:tblPr>
      <w:tblGrid>
        <w:gridCol w:w="4680"/>
        <w:gridCol w:w="4680"/>
      </w:tblGrid>
      <w:tr>
        <w:trPr>
          <w:cantSplit w:val="1"/>
        </w:trPr>
        <w:tc>
          <w:tcPr>
            <w:tcW w:type="dxa" w:w="4680"/>
            <w:shd w:fill="0033CC"/>
          </w:tcPr>
          <w:p>
            <w:pPr>
              <w:keepLines w:val="1"/>
              <w:keepNext w:val="1"/>
            </w:pPr>
            <w:r>
              <w:rPr>
                <w:b/>
                <w:color w:val="FFFFFF"/>
              </w:rPr>
              <w:t>Sigla</w:t>
            </w:r>
          </w:p>
        </w:tc>
        <w:tc>
          <w:tcPr>
            <w:tcW w:type="dxa" w:w="4680"/>
            <w:shd w:fill="0033CC"/>
          </w:tcPr>
          <w:p>
            <w:pPr>
              <w:keepLines w:val="1"/>
              <w:keepNext w:val="1"/>
            </w:pPr>
            <w:r>
              <w:rPr>
                <w:b/>
                <w:color w:val="FFFFFF"/>
              </w:rPr>
              <w:t>Marco completo</w:t>
            </w:r>
          </w:p>
        </w:tc>
      </w:tr>
      <w:tr>
        <w:trPr>
          <w:cantSplit w:val="1"/>
        </w:trPr>
        <w:tc>
          <w:tcPr>
            <w:tcW w:type="dxa" w:w="4680"/>
          </w:tcPr>
          <w:p>
            <w:pPr>
              <w:keepLines w:val="1"/>
              <w:keepNext w:val="1"/>
            </w:pPr>
            <w:r>
              <w:t>NIS2</w:t>
            </w:r>
          </w:p>
        </w:tc>
        <w:tc>
          <w:tcPr>
            <w:tcW w:type="dxa" w:w="4680"/>
          </w:tcPr>
          <w:p>
            <w:pPr>
              <w:keepLines w:val="1"/>
              <w:keepNext w:val="1"/>
            </w:pPr>
            <w:r>
              <w:t>Directiva (UE) 2022/2555 — Seguridad de Redes e Información</w:t>
            </w:r>
          </w:p>
        </w:tc>
      </w:tr>
      <w:tr>
        <w:trPr>
          <w:cantSplit w:val="1"/>
        </w:trPr>
        <w:tc>
          <w:tcPr>
            <w:tcW w:type="dxa" w:w="4680"/>
          </w:tcPr>
          <w:p>
            <w:pPr>
              <w:keepLines w:val="1"/>
              <w:keepNext w:val="1"/>
            </w:pPr>
            <w:r>
              <w:t>ENS</w:t>
            </w:r>
          </w:p>
        </w:tc>
        <w:tc>
          <w:tcPr>
            <w:tcW w:type="dxa" w:w="4680"/>
          </w:tcPr>
          <w:p>
            <w:pPr>
              <w:keepLines w:val="1"/>
              <w:keepNext w:val="1"/>
            </w:pPr>
            <w:r>
              <w:t>Esquema Nacional de Seguridad (RD 311/2022)</w:t>
            </w:r>
          </w:p>
        </w:tc>
      </w:tr>
      <w:tr>
        <w:trPr>
          <w:cantSplit w:val="1"/>
        </w:trPr>
        <w:tc>
          <w:tcPr>
            <w:tcW w:type="dxa" w:w="4680"/>
          </w:tcPr>
          <w:p>
            <w:pPr>
              <w:keepLines w:val="1"/>
              <w:keepNext w:val="1"/>
            </w:pPr>
            <w:r>
              <w:t>DORA</w:t>
            </w:r>
          </w:p>
        </w:tc>
        <w:tc>
          <w:tcPr>
            <w:tcW w:type="dxa" w:w="4680"/>
          </w:tcPr>
          <w:p>
            <w:pPr>
              <w:keepLines w:val="1"/>
              <w:keepNext w:val="1"/>
            </w:pPr>
            <w:r>
              <w:t>Reglamento (UE) 2022/2554 — Digital Operational Resilience Act</w:t>
            </w:r>
          </w:p>
        </w:tc>
      </w:tr>
      <w:tr>
        <w:trPr>
          <w:cantSplit w:val="1"/>
        </w:trPr>
        <w:tc>
          <w:tcPr>
            <w:tcW w:type="dxa" w:w="4680"/>
          </w:tcPr>
          <w:p>
            <w:pPr>
              <w:keepLines w:val="1"/>
              <w:keepNext w:val="1"/>
            </w:pPr>
            <w:r>
              <w:t>RGPD</w:t>
            </w:r>
          </w:p>
        </w:tc>
        <w:tc>
          <w:tcPr>
            <w:tcW w:type="dxa" w:w="4680"/>
          </w:tcPr>
          <w:p>
            <w:pPr>
              <w:keepLines w:val="1"/>
              <w:keepNext w:val="1"/>
            </w:pPr>
            <w:r>
              <w:t>Reglamento (UE) 2016/679</w:t>
            </w:r>
          </w:p>
        </w:tc>
      </w:tr>
      <w:tr>
        <w:trPr>
          <w:cantSplit w:val="1"/>
        </w:trPr>
        <w:tc>
          <w:tcPr>
            <w:tcW w:type="dxa" w:w="4680"/>
          </w:tcPr>
          <w:p>
            <w:pPr>
              <w:keepLines w:val="1"/>
              <w:keepNext w:val="1"/>
            </w:pPr>
            <w:r>
              <w:t>ISO 27001</w:t>
            </w:r>
          </w:p>
        </w:tc>
        <w:tc>
          <w:tcPr>
            <w:tcW w:type="dxa" w:w="4680"/>
          </w:tcPr>
          <w:p>
            <w:pPr>
              <w:keepLines w:val="1"/>
              <w:keepNext w:val="1"/>
            </w:pPr>
            <w:r>
              <w:t>ISO/IEC 27001:2022</w:t>
            </w:r>
          </w:p>
        </w:tc>
      </w:tr>
      <w:tr>
        <w:trPr>
          <w:cantSplit w:val="1"/>
        </w:trPr>
        <w:tc>
          <w:tcPr>
            <w:tcW w:type="dxa" w:w="4680"/>
          </w:tcPr>
          <w:p>
            <w:pPr>
              <w:keepLines w:val="1"/>
              <w:keepNext w:val="1"/>
            </w:pPr>
            <w:r>
              <w:t>NIST CSF</w:t>
            </w:r>
          </w:p>
        </w:tc>
        <w:tc>
          <w:tcPr>
            <w:tcW w:type="dxa" w:w="4680"/>
          </w:tcPr>
          <w:p>
            <w:pPr>
              <w:keepLines w:val="1"/>
              <w:keepNext w:val="1"/>
            </w:pPr>
            <w:r>
              <w:t>NIST Cybersecurity Framework 2.0</w:t>
            </w:r>
          </w:p>
        </w:tc>
      </w:tr>
      <w:tr>
        <w:trPr>
          <w:cantSplit w:val="1"/>
        </w:trPr>
        <w:tc>
          <w:tcPr>
            <w:tcW w:type="dxa" w:w="4680"/>
          </w:tcPr>
          <w:p>
            <w:pPr>
              <w:keepLines w:val="1"/>
              <w:keepNext w:val="1"/>
            </w:pPr>
            <w:r>
              <w:t>NIST SP 800-55</w:t>
            </w:r>
          </w:p>
        </w:tc>
        <w:tc>
          <w:tcPr>
            <w:tcW w:type="dxa" w:w="4680"/>
          </w:tcPr>
          <w:p>
            <w:pPr>
              <w:keepLines w:val="1"/>
              <w:keepNext w:val="1"/>
            </w:pPr>
            <w:r>
              <w:t>NIST SP 800-55r2 — Performance Measurement Guide for Information Security</w:t>
            </w:r>
          </w:p>
        </w:tc>
      </w:tr>
      <w:tr>
        <w:trPr>
          <w:cantSplit w:val="1"/>
        </w:trPr>
        <w:tc>
          <w:tcPr>
            <w:tcW w:type="dxa" w:w="4680"/>
          </w:tcPr>
          <w:p>
            <w:pPr>
              <w:keepLines w:val="1"/>
              <w:keepNext w:val="1"/>
            </w:pPr>
            <w:r>
              <w:t>NIST AI</w:t>
            </w:r>
          </w:p>
        </w:tc>
        <w:tc>
          <w:tcPr>
            <w:tcW w:type="dxa" w:w="4680"/>
          </w:tcPr>
          <w:p>
            <w:pPr>
              <w:keepLines w:val="1"/>
              <w:keepNext w:val="1"/>
            </w:pPr>
            <w:r>
              <w:t>NIST AI 100-2e2025 — Adversarial Machine Learning</w:t>
            </w:r>
          </w:p>
        </w:tc>
      </w:tr>
      <w:tr>
        <w:trPr>
          <w:cantSplit w:val="1"/>
        </w:trPr>
        <w:tc>
          <w:tcPr>
            <w:tcW w:type="dxa" w:w="4680"/>
          </w:tcPr>
          <w:p>
            <w:pPr>
              <w:keepLines w:val="1"/>
              <w:keepNext w:val="1"/>
            </w:pPr>
            <w:r>
              <w:t>ISO 42001</w:t>
            </w:r>
          </w:p>
        </w:tc>
        <w:tc>
          <w:tcPr>
            <w:tcW w:type="dxa" w:w="4680"/>
          </w:tcPr>
          <w:p>
            <w:pPr>
              <w:keepLines w:val="1"/>
              <w:keepNext w:val="1"/>
            </w:pPr>
            <w:r>
              <w:t>ISO/IEC 42001:2023 — AI Management Systems</w:t>
            </w:r>
          </w:p>
        </w:tc>
      </w:tr>
      <w:tr>
        <w:trPr>
          <w:cantSplit w:val="1"/>
        </w:trPr>
        <w:tc>
          <w:tcPr>
            <w:tcW w:type="dxa" w:w="4680"/>
          </w:tcPr>
          <w:p>
            <w:pPr>
              <w:keepLines w:val="1"/>
              <w:keepNext w:val="1"/>
            </w:pPr>
            <w:r>
              <w:t>IEC 62443</w:t>
            </w:r>
          </w:p>
        </w:tc>
        <w:tc>
          <w:tcPr>
            <w:tcW w:type="dxa" w:w="4680"/>
          </w:tcPr>
          <w:p>
            <w:pPr>
              <w:keepLines w:val="1"/>
              <w:keepNext w:val="1"/>
            </w:pPr>
            <w:r>
              <w:t>IEC 62443 — Industrial Cybersecurity</w:t>
            </w:r>
          </w:p>
        </w:tc>
      </w:tr>
      <w:tr>
        <w:trPr>
          <w:cantSplit w:val="1"/>
        </w:trPr>
        <w:tc>
          <w:tcPr>
            <w:tcW w:type="dxa" w:w="4680"/>
          </w:tcPr>
          <w:p>
            <w:pPr>
              <w:keepLines w:val="1"/>
              <w:keepNext w:val="1"/>
            </w:pPr>
            <w:r>
              <w:t>NIST PQC</w:t>
            </w:r>
          </w:p>
        </w:tc>
        <w:tc>
          <w:tcPr>
            <w:tcW w:type="dxa" w:w="4680"/>
          </w:tcPr>
          <w:p>
            <w:pPr>
              <w:keepLines w:val="1"/>
              <w:keepNext w:val="1"/>
            </w:pPr>
            <w:r>
              <w:t>NIST FIPS 203/204/205 — Post-Quantum Cryptography Standards</w:t>
            </w:r>
          </w:p>
        </w:tc>
      </w:tr>
      <w:tr>
        <w:trPr>
          <w:cantSplit w:val="1"/>
        </w:trPr>
        <w:tc>
          <w:tcPr>
            <w:tcW w:type="dxa" w:w="4680"/>
          </w:tcPr>
          <w:p>
            <w:pPr>
              <w:keepLines w:val="1"/>
              <w:keepNext w:val="1"/>
            </w:pPr>
            <w:r>
              <w:t>ENC</w:t>
            </w:r>
          </w:p>
        </w:tc>
        <w:tc>
          <w:tcPr>
            <w:tcW w:type="dxa" w:w="4680"/>
          </w:tcPr>
          <w:p>
            <w:pPr>
              <w:keepLines w:val="1"/>
              <w:keepNext w:val="1"/>
            </w:pPr>
            <w:r>
              <w:t>Estrategia Nacional de Ciberseguridad (España 2019-2025)</w:t>
            </w:r>
          </w:p>
        </w:tc>
      </w:tr>
      <w:tr>
        <w:trPr>
          <w:cantSplit w:val="1"/>
        </w:trPr>
        <w:tc>
          <w:tcPr>
            <w:tcW w:type="dxa" w:w="4680"/>
          </w:tcPr>
          <w:p>
            <w:pPr>
              <w:keepLines w:val="1"/>
            </w:pPr>
            <w:r>
              <w:t>LCyGC</w:t>
            </w:r>
          </w:p>
        </w:tc>
        <w:tc>
          <w:tcPr>
            <w:tcW w:type="dxa" w:w="4680"/>
          </w:tcPr>
          <w:p>
            <w:pPr>
              <w:keepLines w:val="1"/>
            </w:pPr>
            <w:r>
              <w:t>Anteproyecto Ley Coordinación y Gobernanza Ciberseguridad (España 2025)</w:t>
            </w:r>
          </w:p>
        </w:tc>
      </w:tr>
    </w:tbl>
    <w:p/>
    <w:p>
      <w:pPr>
        <w:pStyle w:val="Heading2"/>
        <w:keepNext/>
        <w:keepLines/>
      </w:pPr>
      <w:r>
        <w:rPr>
          <w:color w:val="0066CC"/>
        </w:rPr>
        <w:t>DOMINIO SOFTWARE — Métricas M-SW</w:t>
      </w:r>
    </w:p>
    <w:p>
      <w:pPr>
        <w:pStyle w:val="Heading3"/>
        <w:keepNext/>
        <w:keepLines/>
      </w:pPr>
      <w:r>
        <w:t>M-SW-1.1 — Cobertura de controles frente a patrones CAPEC Software (Likelihood=High)</w:t>
      </w:r>
    </w:p>
    <w:tbl>
      <w:tblPr>
        <w:tblStyle w:val="LightGrid-Accent1"/>
        <w:tblW w:type="auto" w:w="0"/>
        <w:tblLook w:firstColumn="1" w:firstRow="1" w:lastColumn="0" w:lastRow="0" w:noHBand="0" w:noVBand="1" w:val="04A0"/>
      </w:tblPr>
      <w:tblGrid>
        <w:gridCol w:w="2340"/>
        <w:gridCol w:w="2340"/>
        <w:gridCol w:w="2340"/>
        <w:gridCol w:w="2340"/>
      </w:tblGrid>
      <w:tr>
        <w:trPr>
          <w:cantSplit w:val="1"/>
        </w:trPr>
        <w:tc>
          <w:tcPr>
            <w:tcW w:type="dxa" w:w="2340"/>
            <w:shd w:fill="0033CC"/>
          </w:tcPr>
          <w:p>
            <w:pPr>
              <w:keepLines w:val="1"/>
              <w:keepNext w:val="1"/>
            </w:pPr>
            <w:r>
              <w:rPr>
                <w:b/>
                <w:color w:val="FFFFFF"/>
              </w:rPr>
              <w:t>Marco</w:t>
            </w:r>
          </w:p>
        </w:tc>
        <w:tc>
          <w:tcPr>
            <w:tcW w:type="dxa" w:w="2340"/>
            <w:shd w:fill="0033CC"/>
          </w:tcPr>
          <w:p>
            <w:pPr>
              <w:keepLines w:val="1"/>
              <w:keepNext w:val="1"/>
            </w:pPr>
            <w:r>
              <w:rPr>
                <w:b/>
                <w:color w:val="FFFFFF"/>
              </w:rPr>
              <w:t>Artículo / Control</w:t>
            </w:r>
          </w:p>
        </w:tc>
        <w:tc>
          <w:tcPr>
            <w:tcW w:type="dxa" w:w="2340"/>
            <w:shd w:fill="0033CC"/>
          </w:tcPr>
          <w:p>
            <w:pPr>
              <w:keepLines w:val="1"/>
              <w:keepNext w:val="1"/>
            </w:pPr>
            <w:r>
              <w:rPr>
                <w:b/>
                <w:color w:val="FFFFFF"/>
              </w:rPr>
              <w:t>Tipo de mapeo</w:t>
            </w:r>
          </w:p>
        </w:tc>
        <w:tc>
          <w:tcPr>
            <w:tcW w:type="dxa" w:w="2340"/>
            <w:shd w:fill="0033CC"/>
          </w:tcPr>
          <w:p>
            <w:pPr>
              <w:keepLines w:val="1"/>
              <w:keepNext w:val="1"/>
            </w:pPr>
            <w:r>
              <w:rPr>
                <w:b/>
                <w:color w:val="FFFFFF"/>
              </w:rPr>
              <w:t>Evidencia requerida</w:t>
            </w:r>
          </w:p>
        </w:tc>
      </w:tr>
      <w:tr>
        <w:trPr>
          <w:cantSplit w:val="1"/>
        </w:trPr>
        <w:tc>
          <w:tcPr>
            <w:tcW w:type="dxa" w:w="2340"/>
          </w:tcPr>
          <w:p>
            <w:pPr>
              <w:keepLines w:val="1"/>
              <w:keepNext w:val="1"/>
            </w:pPr>
            <w:r>
              <w:t>NIS2</w:t>
            </w:r>
          </w:p>
        </w:tc>
        <w:tc>
          <w:tcPr>
            <w:tcW w:type="dxa" w:w="2340"/>
          </w:tcPr>
          <w:p>
            <w:pPr>
              <w:keepLines w:val="1"/>
              <w:keepNext w:val="1"/>
            </w:pPr>
            <w:r>
              <w:t>Art. 21.2.a — Política de análisis de riesgos</w:t>
            </w:r>
          </w:p>
        </w:tc>
        <w:tc>
          <w:tcPr>
            <w:tcW w:type="dxa" w:w="2340"/>
          </w:tcPr>
          <w:p>
            <w:pPr>
              <w:keepLines w:val="1"/>
              <w:keepNext w:val="1"/>
            </w:pPr>
            <w:r>
              <w:t>Directo</w:t>
            </w:r>
          </w:p>
        </w:tc>
        <w:tc>
          <w:tcPr>
            <w:tcW w:type="dxa" w:w="2340"/>
          </w:tcPr>
          <w:p>
            <w:pPr>
              <w:keepLines w:val="1"/>
              <w:keepNext w:val="1"/>
            </w:pPr>
            <w:r>
              <w:t>La métrica opera como KPI de la política de análisis de riesgos</w:t>
            </w:r>
          </w:p>
        </w:tc>
      </w:tr>
      <w:tr>
        <w:trPr>
          <w:cantSplit w:val="1"/>
        </w:trPr>
        <w:tc>
          <w:tcPr>
            <w:tcW w:type="dxa" w:w="2340"/>
          </w:tcPr>
          <w:p>
            <w:pPr>
              <w:keepLines w:val="1"/>
              <w:keepNext w:val="1"/>
            </w:pPr>
            <w:r>
              <w:t>NIS2</w:t>
            </w:r>
          </w:p>
        </w:tc>
        <w:tc>
          <w:tcPr>
            <w:tcW w:type="dxa" w:w="2340"/>
          </w:tcPr>
          <w:p>
            <w:pPr>
              <w:keepLines w:val="1"/>
              <w:keepNext w:val="1"/>
            </w:pPr>
            <w:r>
              <w:t>Art. 21.2.e — Seguridad en adquisición, desarrollo y mantenimiento</w:t>
            </w:r>
          </w:p>
        </w:tc>
        <w:tc>
          <w:tcPr>
            <w:tcW w:type="dxa" w:w="2340"/>
          </w:tcPr>
          <w:p>
            <w:pPr>
              <w:keepLines w:val="1"/>
              <w:keepNext w:val="1"/>
            </w:pPr>
            <w:r>
              <w:t>Directo</w:t>
            </w:r>
          </w:p>
        </w:tc>
        <w:tc>
          <w:tcPr>
            <w:tcW w:type="dxa" w:w="2340"/>
          </w:tcPr>
          <w:p>
            <w:pPr>
              <w:keepLines w:val="1"/>
              <w:keepNext w:val="1"/>
            </w:pPr>
            <w:r>
              <w:t>Cobertura de controles en entornos de desarrollo y producción</w:t>
            </w:r>
          </w:p>
        </w:tc>
      </w:tr>
      <w:tr>
        <w:trPr>
          <w:cantSplit w:val="1"/>
        </w:trPr>
        <w:tc>
          <w:tcPr>
            <w:tcW w:type="dxa" w:w="2340"/>
          </w:tcPr>
          <w:p>
            <w:pPr>
              <w:keepLines w:val="1"/>
              <w:keepNext w:val="1"/>
            </w:pPr>
            <w:r>
              <w:t>ENS</w:t>
            </w:r>
          </w:p>
        </w:tc>
        <w:tc>
          <w:tcPr>
            <w:tcW w:type="dxa" w:w="2340"/>
          </w:tcPr>
          <w:p>
            <w:pPr>
              <w:keepLines w:val="1"/>
              <w:keepNext w:val="1"/>
            </w:pPr>
            <w:r>
              <w:t>M.op.pl.1 — Análisis de riesgos</w:t>
            </w:r>
          </w:p>
        </w:tc>
        <w:tc>
          <w:tcPr>
            <w:tcW w:type="dxa" w:w="2340"/>
          </w:tcPr>
          <w:p>
            <w:pPr>
              <w:keepLines w:val="1"/>
              <w:keepNext w:val="1"/>
            </w:pPr>
            <w:r>
              <w:t>Directo</w:t>
            </w:r>
          </w:p>
        </w:tc>
        <w:tc>
          <w:tcPr>
            <w:tcW w:type="dxa" w:w="2340"/>
          </w:tcPr>
          <w:p>
            <w:pPr>
              <w:keepLines w:val="1"/>
              <w:keepNext w:val="1"/>
            </w:pPr>
            <w:r>
              <w:t>El análisis de riesgos ENS exige identificar amenazas y valorar controles</w:t>
            </w:r>
          </w:p>
        </w:tc>
      </w:tr>
      <w:tr>
        <w:trPr>
          <w:cantSplit w:val="1"/>
        </w:trPr>
        <w:tc>
          <w:tcPr>
            <w:tcW w:type="dxa" w:w="2340"/>
          </w:tcPr>
          <w:p>
            <w:pPr>
              <w:keepLines w:val="1"/>
              <w:keepNext w:val="1"/>
            </w:pPr>
            <w:r>
              <w:t>ENS</w:t>
            </w:r>
          </w:p>
        </w:tc>
        <w:tc>
          <w:tcPr>
            <w:tcW w:type="dxa" w:w="2340"/>
          </w:tcPr>
          <w:p>
            <w:pPr>
              <w:keepLines w:val="1"/>
              <w:keepNext w:val="1"/>
            </w:pPr>
            <w:r>
              <w:t>M.op.pl.2 — Arquitectura de seguridad</w:t>
            </w:r>
          </w:p>
        </w:tc>
        <w:tc>
          <w:tcPr>
            <w:tcW w:type="dxa" w:w="2340"/>
          </w:tcPr>
          <w:p>
            <w:pPr>
              <w:keepLines w:val="1"/>
              <w:keepNext w:val="1"/>
            </w:pPr>
            <w:r>
              <w:t>Complementario</w:t>
            </w:r>
          </w:p>
        </w:tc>
        <w:tc>
          <w:tcPr>
            <w:tcW w:type="dxa" w:w="2340"/>
          </w:tcPr>
          <w:p>
            <w:pPr>
              <w:keepLines w:val="1"/>
              <w:keepNext w:val="1"/>
            </w:pPr>
            <w:r>
              <w:t>La arquitectura define los controles cuya cobertura se mide</w:t>
            </w:r>
          </w:p>
        </w:tc>
      </w:tr>
      <w:tr>
        <w:trPr>
          <w:cantSplit w:val="1"/>
        </w:trPr>
        <w:tc>
          <w:tcPr>
            <w:tcW w:type="dxa" w:w="2340"/>
          </w:tcPr>
          <w:p>
            <w:pPr>
              <w:keepLines w:val="1"/>
              <w:keepNext w:val="1"/>
            </w:pPr>
            <w:r>
              <w:t>ISO 27001</w:t>
            </w:r>
          </w:p>
        </w:tc>
        <w:tc>
          <w:tcPr>
            <w:tcW w:type="dxa" w:w="2340"/>
          </w:tcPr>
          <w:p>
            <w:pPr>
              <w:keepLines w:val="1"/>
              <w:keepNext w:val="1"/>
            </w:pPr>
            <w:r>
              <w:t>A.5.7 — Threat intelligence</w:t>
            </w:r>
          </w:p>
        </w:tc>
        <w:tc>
          <w:tcPr>
            <w:tcW w:type="dxa" w:w="2340"/>
          </w:tcPr>
          <w:p>
            <w:pPr>
              <w:keepLines w:val="1"/>
              <w:keepNext w:val="1"/>
            </w:pPr>
            <w:r>
              <w:t>Directo</w:t>
            </w:r>
          </w:p>
        </w:tc>
        <w:tc>
          <w:tcPr>
            <w:tcW w:type="dxa" w:w="2340"/>
          </w:tcPr>
          <w:p>
            <w:pPr>
              <w:keepLines w:val="1"/>
              <w:keepNext w:val="1"/>
            </w:pPr>
            <w:r>
              <w:t>CAPEC es la base de datos de amenazas; la cobertura mide su uso</w:t>
            </w:r>
          </w:p>
        </w:tc>
      </w:tr>
      <w:tr>
        <w:trPr>
          <w:cantSplit w:val="1"/>
        </w:trPr>
        <w:tc>
          <w:tcPr>
            <w:tcW w:type="dxa" w:w="2340"/>
          </w:tcPr>
          <w:p>
            <w:pPr>
              <w:keepLines w:val="1"/>
              <w:keepNext w:val="1"/>
            </w:pPr>
            <w:r>
              <w:t>ISO 27001</w:t>
            </w:r>
          </w:p>
        </w:tc>
        <w:tc>
          <w:tcPr>
            <w:tcW w:type="dxa" w:w="2340"/>
          </w:tcPr>
          <w:p>
            <w:pPr>
              <w:keepLines w:val="1"/>
              <w:keepNext w:val="1"/>
            </w:pPr>
            <w:r>
              <w:t>A.8.8 — Management of technical vulnerabilities</w:t>
            </w:r>
          </w:p>
        </w:tc>
        <w:tc>
          <w:tcPr>
            <w:tcW w:type="dxa" w:w="2340"/>
          </w:tcPr>
          <w:p>
            <w:pPr>
              <w:keepLines w:val="1"/>
              <w:keepNext w:val="1"/>
            </w:pPr>
            <w:r>
              <w:t>Directo</w:t>
            </w:r>
          </w:p>
        </w:tc>
        <w:tc>
          <w:tcPr>
            <w:tcW w:type="dxa" w:w="2340"/>
          </w:tcPr>
          <w:p>
            <w:pPr>
              <w:keepLines w:val="1"/>
              <w:keepNext w:val="1"/>
            </w:pPr>
            <w:r>
              <w:t>Controles frente a vulnerabilidades técnicas documentadas en CAPEC</w:t>
            </w:r>
          </w:p>
        </w:tc>
      </w:tr>
      <w:tr>
        <w:trPr>
          <w:cantSplit w:val="1"/>
        </w:trPr>
        <w:tc>
          <w:tcPr>
            <w:tcW w:type="dxa" w:w="2340"/>
          </w:tcPr>
          <w:p>
            <w:pPr>
              <w:keepLines w:val="1"/>
              <w:keepNext w:val="1"/>
            </w:pPr>
            <w:r>
              <w:t>NIST CSF 2.0</w:t>
            </w:r>
          </w:p>
        </w:tc>
        <w:tc>
          <w:tcPr>
            <w:tcW w:type="dxa" w:w="2340"/>
          </w:tcPr>
          <w:p>
            <w:pPr>
              <w:keepLines w:val="1"/>
              <w:keepNext w:val="1"/>
            </w:pPr>
            <w:r>
              <w:t>ID.RA-3 — Threats and vulnerabilities identified</w:t>
            </w:r>
          </w:p>
        </w:tc>
        <w:tc>
          <w:tcPr>
            <w:tcW w:type="dxa" w:w="2340"/>
          </w:tcPr>
          <w:p>
            <w:pPr>
              <w:keepLines w:val="1"/>
              <w:keepNext w:val="1"/>
            </w:pPr>
            <w:r>
              <w:t>Directo</w:t>
            </w:r>
          </w:p>
        </w:tc>
        <w:tc>
          <w:tcPr>
            <w:tcW w:type="dxa" w:w="2340"/>
          </w:tcPr>
          <w:p>
            <w:pPr>
              <w:keepLines w:val="1"/>
              <w:keepNext w:val="1"/>
            </w:pPr>
            <w:r>
              <w:t>Identifica las amenazas y verifica que hay controles correspondientes</w:t>
            </w:r>
          </w:p>
        </w:tc>
      </w:tr>
      <w:tr>
        <w:trPr>
          <w:cantSplit w:val="1"/>
        </w:trPr>
        <w:tc>
          <w:tcPr>
            <w:tcW w:type="dxa" w:w="2340"/>
          </w:tcPr>
          <w:p>
            <w:pPr>
              <w:keepLines w:val="1"/>
              <w:keepNext w:val="1"/>
            </w:pPr>
            <w:r>
              <w:t>NIST CSF 2.0</w:t>
            </w:r>
          </w:p>
        </w:tc>
        <w:tc>
          <w:tcPr>
            <w:tcW w:type="dxa" w:w="2340"/>
          </w:tcPr>
          <w:p>
            <w:pPr>
              <w:keepLines w:val="1"/>
              <w:keepNext w:val="1"/>
            </w:pPr>
            <w:r>
              <w:t>PR.PS-2 — Software is maintained</w:t>
            </w:r>
          </w:p>
        </w:tc>
        <w:tc>
          <w:tcPr>
            <w:tcW w:type="dxa" w:w="2340"/>
          </w:tcPr>
          <w:p>
            <w:pPr>
              <w:keepLines w:val="1"/>
              <w:keepNext w:val="1"/>
            </w:pPr>
            <w:r>
              <w:t>Complementario</w:t>
            </w:r>
          </w:p>
        </w:tc>
        <w:tc>
          <w:tcPr>
            <w:tcW w:type="dxa" w:w="2340"/>
          </w:tcPr>
          <w:p>
            <w:pPr>
              <w:keepLines w:val="1"/>
              <w:keepNext w:val="1"/>
            </w:pPr>
            <w:r>
              <w:t>Mantenimiento del software relacionado con controles de patrones SW</w:t>
            </w:r>
          </w:p>
        </w:tc>
      </w:tr>
      <w:tr>
        <w:trPr>
          <w:cantSplit w:val="1"/>
        </w:trPr>
        <w:tc>
          <w:tcPr>
            <w:tcW w:type="dxa" w:w="2340"/>
          </w:tcPr>
          <w:p>
            <w:pPr>
              <w:keepLines w:val="1"/>
            </w:pPr>
            <w:r>
              <w:t>NIST SP 800-55</w:t>
            </w:r>
          </w:p>
        </w:tc>
        <w:tc>
          <w:tcPr>
            <w:tcW w:type="dxa" w:w="2340"/>
          </w:tcPr>
          <w:p>
            <w:pPr>
              <w:keepLines w:val="1"/>
            </w:pPr>
            <w:r>
              <w:t>Measure 2.3 — Control effectiveness</w:t>
            </w:r>
          </w:p>
        </w:tc>
        <w:tc>
          <w:tcPr>
            <w:tcW w:type="dxa" w:w="2340"/>
          </w:tcPr>
          <w:p>
            <w:pPr>
              <w:keepLines w:val="1"/>
            </w:pPr>
            <w:r>
              <w:t>Metodológico</w:t>
            </w:r>
          </w:p>
        </w:tc>
        <w:tc>
          <w:tcPr>
            <w:tcW w:type="dxa" w:w="2340"/>
          </w:tcPr>
          <w:p>
            <w:pPr>
              <w:keepLines w:val="1"/>
            </w:pPr>
            <w:r>
              <w:t>SP 800-55 define cómo medir la efectividad de controles</w:t>
            </w:r>
          </w:p>
        </w:tc>
      </w:tr>
    </w:tbl>
    <w:p/>
    <w:p>
      <w:r>
        <w:rPr>
          <w:b/>
        </w:rPr>
        <w:t>Goal GQM asociado:</w:t>
      </w:r>
      <w:r>
        <w:t xml:space="preserve"> G-SW-1 — Reducir exposición a patrones CAPEC Software de alta probabilidad</w:t>
      </w:r>
      <w:r/>
      <w:r>
        <w:br/>
      </w:r>
      <w:r>
        <w:rPr>
          <w:b/>
        </w:rPr>
        <w:t>Score PRAGMATIC:</w:t>
      </w:r>
      <w:r>
        <w:t xml:space="preserve"> 3,9 / 5,0</w:t>
      </w:r>
    </w:p>
    <w:p>
      <w:pPr>
        <w:pStyle w:val="Heading3"/>
        <w:keepNext/>
        <w:keepLines/>
      </w:pPr>
      <w:r>
        <w:t>M-SW-1.2 — MTTD (Mean Time to Detect) para patrones CAPEC Software</w:t>
      </w:r>
    </w:p>
    <w:tbl>
      <w:tblPr>
        <w:tblStyle w:val="LightGrid-Accent1"/>
        <w:tblW w:type="auto" w:w="0"/>
        <w:tblLook w:firstColumn="1" w:firstRow="1" w:lastColumn="0" w:lastRow="0" w:noHBand="0" w:noVBand="1" w:val="04A0"/>
      </w:tblPr>
      <w:tblGrid>
        <w:gridCol w:w="2340"/>
        <w:gridCol w:w="2340"/>
        <w:gridCol w:w="2340"/>
        <w:gridCol w:w="2340"/>
      </w:tblGrid>
      <w:tr>
        <w:trPr>
          <w:cantSplit w:val="1"/>
        </w:trPr>
        <w:tc>
          <w:tcPr>
            <w:tcW w:type="dxa" w:w="2340"/>
            <w:shd w:fill="0033CC"/>
          </w:tcPr>
          <w:p>
            <w:pPr>
              <w:keepLines w:val="1"/>
              <w:keepNext w:val="1"/>
            </w:pPr>
            <w:r>
              <w:rPr>
                <w:b/>
                <w:color w:val="FFFFFF"/>
              </w:rPr>
              <w:t>Marco</w:t>
            </w:r>
          </w:p>
        </w:tc>
        <w:tc>
          <w:tcPr>
            <w:tcW w:type="dxa" w:w="2340"/>
            <w:shd w:fill="0033CC"/>
          </w:tcPr>
          <w:p>
            <w:pPr>
              <w:keepLines w:val="1"/>
              <w:keepNext w:val="1"/>
            </w:pPr>
            <w:r>
              <w:rPr>
                <w:b/>
                <w:color w:val="FFFFFF"/>
              </w:rPr>
              <w:t>Artículo / Control</w:t>
            </w:r>
          </w:p>
        </w:tc>
        <w:tc>
          <w:tcPr>
            <w:tcW w:type="dxa" w:w="2340"/>
            <w:shd w:fill="0033CC"/>
          </w:tcPr>
          <w:p>
            <w:pPr>
              <w:keepLines w:val="1"/>
              <w:keepNext w:val="1"/>
            </w:pPr>
            <w:r>
              <w:rPr>
                <w:b/>
                <w:color w:val="FFFFFF"/>
              </w:rPr>
              <w:t>Tipo de mapeo</w:t>
            </w:r>
          </w:p>
        </w:tc>
        <w:tc>
          <w:tcPr>
            <w:tcW w:type="dxa" w:w="2340"/>
            <w:shd w:fill="0033CC"/>
          </w:tcPr>
          <w:p>
            <w:pPr>
              <w:keepLines w:val="1"/>
              <w:keepNext w:val="1"/>
            </w:pPr>
            <w:r>
              <w:rPr>
                <w:b/>
                <w:color w:val="FFFFFF"/>
              </w:rPr>
              <w:t>Evidencia requerida</w:t>
            </w:r>
          </w:p>
        </w:tc>
      </w:tr>
      <w:tr>
        <w:trPr>
          <w:cantSplit w:val="1"/>
        </w:trPr>
        <w:tc>
          <w:tcPr>
            <w:tcW w:type="dxa" w:w="2340"/>
          </w:tcPr>
          <w:p>
            <w:pPr>
              <w:keepLines w:val="1"/>
              <w:keepNext w:val="1"/>
            </w:pPr>
            <w:r>
              <w:t>NIS2</w:t>
            </w:r>
          </w:p>
        </w:tc>
        <w:tc>
          <w:tcPr>
            <w:tcW w:type="dxa" w:w="2340"/>
          </w:tcPr>
          <w:p>
            <w:pPr>
              <w:keepLines w:val="1"/>
              <w:keepNext w:val="1"/>
            </w:pPr>
            <w:r>
              <w:t>Art. 21.2.b — Gestión de incidentes (detección)</w:t>
            </w:r>
          </w:p>
        </w:tc>
        <w:tc>
          <w:tcPr>
            <w:tcW w:type="dxa" w:w="2340"/>
          </w:tcPr>
          <w:p>
            <w:pPr>
              <w:keepLines w:val="1"/>
              <w:keepNext w:val="1"/>
            </w:pPr>
            <w:r>
              <w:t>Directo</w:t>
            </w:r>
          </w:p>
        </w:tc>
        <w:tc>
          <w:tcPr>
            <w:tcW w:type="dxa" w:w="2340"/>
          </w:tcPr>
          <w:p>
            <w:pPr>
              <w:keepLines w:val="1"/>
              <w:keepNext w:val="1"/>
            </w:pPr>
            <w:r>
              <w:t>MTTD es KPI central de la capacidad de detección exigida en NIS2</w:t>
            </w:r>
          </w:p>
        </w:tc>
      </w:tr>
      <w:tr>
        <w:trPr>
          <w:cantSplit w:val="1"/>
        </w:trPr>
        <w:tc>
          <w:tcPr>
            <w:tcW w:type="dxa" w:w="2340"/>
          </w:tcPr>
          <w:p>
            <w:pPr>
              <w:keepLines w:val="1"/>
              <w:keepNext w:val="1"/>
            </w:pPr>
            <w:r>
              <w:t>NIS2</w:t>
            </w:r>
          </w:p>
        </w:tc>
        <w:tc>
          <w:tcPr>
            <w:tcW w:type="dxa" w:w="2340"/>
          </w:tcPr>
          <w:p>
            <w:pPr>
              <w:keepLines w:val="1"/>
              <w:keepNext w:val="1"/>
            </w:pPr>
            <w:r>
              <w:t>Art. 23.1 — Notificación en 24h desde "conocimiento"</w:t>
            </w:r>
          </w:p>
        </w:tc>
        <w:tc>
          <w:tcPr>
            <w:tcW w:type="dxa" w:w="2340"/>
          </w:tcPr>
          <w:p>
            <w:pPr>
              <w:keepLines w:val="1"/>
              <w:keepNext w:val="1"/>
            </w:pPr>
            <w:r>
              <w:t>Directo</w:t>
            </w:r>
          </w:p>
        </w:tc>
        <w:tc>
          <w:tcPr>
            <w:tcW w:type="dxa" w:w="2340"/>
          </w:tcPr>
          <w:p>
            <w:pPr>
              <w:keepLines w:val="1"/>
              <w:keepNext w:val="1"/>
            </w:pPr>
            <w:r>
              <w:t>El MTTD define cuándo empieza el reloj de notificación</w:t>
            </w:r>
          </w:p>
        </w:tc>
      </w:tr>
      <w:tr>
        <w:trPr>
          <w:cantSplit w:val="1"/>
        </w:trPr>
        <w:tc>
          <w:tcPr>
            <w:tcW w:type="dxa" w:w="2340"/>
          </w:tcPr>
          <w:p>
            <w:pPr>
              <w:keepLines w:val="1"/>
              <w:keepNext w:val="1"/>
            </w:pPr>
            <w:r>
              <w:t>DORA</w:t>
            </w:r>
          </w:p>
        </w:tc>
        <w:tc>
          <w:tcPr>
            <w:tcW w:type="dxa" w:w="2340"/>
          </w:tcPr>
          <w:p>
            <w:pPr>
              <w:keepLines w:val="1"/>
              <w:keepNext w:val="1"/>
            </w:pPr>
            <w:r>
              <w:t>Art. 19.3 — Detección de incidentes TIC</w:t>
            </w:r>
          </w:p>
        </w:tc>
        <w:tc>
          <w:tcPr>
            <w:tcW w:type="dxa" w:w="2340"/>
          </w:tcPr>
          <w:p>
            <w:pPr>
              <w:keepLines w:val="1"/>
              <w:keepNext w:val="1"/>
            </w:pPr>
            <w:r>
              <w:t>Directo</w:t>
            </w:r>
          </w:p>
        </w:tc>
        <w:tc>
          <w:tcPr>
            <w:tcW w:type="dxa" w:w="2340"/>
          </w:tcPr>
          <w:p>
            <w:pPr>
              <w:keepLines w:val="1"/>
              <w:keepNext w:val="1"/>
            </w:pPr>
            <w:r>
              <w:t>DORA exige detección oportuna; MTTD es la métrica de esa oportunidad</w:t>
            </w:r>
          </w:p>
        </w:tc>
      </w:tr>
      <w:tr>
        <w:trPr>
          <w:cantSplit w:val="1"/>
        </w:trPr>
        <w:tc>
          <w:tcPr>
            <w:tcW w:type="dxa" w:w="2340"/>
          </w:tcPr>
          <w:p>
            <w:pPr>
              <w:keepLines w:val="1"/>
              <w:keepNext w:val="1"/>
            </w:pPr>
            <w:r>
              <w:t>ENS</w:t>
            </w:r>
          </w:p>
        </w:tc>
        <w:tc>
          <w:tcPr>
            <w:tcW w:type="dxa" w:w="2340"/>
          </w:tcPr>
          <w:p>
            <w:pPr>
              <w:keepLines w:val="1"/>
              <w:keepNext w:val="1"/>
            </w:pPr>
            <w:r>
              <w:t>M.op.mon.1 — Detección de intrusión</w:t>
            </w:r>
          </w:p>
        </w:tc>
        <w:tc>
          <w:tcPr>
            <w:tcW w:type="dxa" w:w="2340"/>
          </w:tcPr>
          <w:p>
            <w:pPr>
              <w:keepLines w:val="1"/>
              <w:keepNext w:val="1"/>
            </w:pPr>
            <w:r>
              <w:t>Directo</w:t>
            </w:r>
          </w:p>
        </w:tc>
        <w:tc>
          <w:tcPr>
            <w:tcW w:type="dxa" w:w="2340"/>
          </w:tcPr>
          <w:p>
            <w:pPr>
              <w:keepLines w:val="1"/>
              <w:keepNext w:val="1"/>
            </w:pPr>
            <w:r>
              <w:t>ENS exige sistemas de detección; MTTD evalúa su eficacia</w:t>
            </w:r>
          </w:p>
        </w:tc>
      </w:tr>
      <w:tr>
        <w:trPr>
          <w:cantSplit w:val="1"/>
        </w:trPr>
        <w:tc>
          <w:tcPr>
            <w:tcW w:type="dxa" w:w="2340"/>
          </w:tcPr>
          <w:p>
            <w:pPr>
              <w:keepLines w:val="1"/>
              <w:keepNext w:val="1"/>
            </w:pPr>
            <w:r>
              <w:t>ENS</w:t>
            </w:r>
          </w:p>
        </w:tc>
        <w:tc>
          <w:tcPr>
            <w:tcW w:type="dxa" w:w="2340"/>
          </w:tcPr>
          <w:p>
            <w:pPr>
              <w:keepLines w:val="1"/>
              <w:keepNext w:val="1"/>
            </w:pPr>
            <w:r>
              <w:t>M.op.ir.1 — Gestión de incidentes de seguridad</w:t>
            </w:r>
          </w:p>
        </w:tc>
        <w:tc>
          <w:tcPr>
            <w:tcW w:type="dxa" w:w="2340"/>
          </w:tcPr>
          <w:p>
            <w:pPr>
              <w:keepLines w:val="1"/>
              <w:keepNext w:val="1"/>
            </w:pPr>
            <w:r>
              <w:t>Complementario</w:t>
            </w:r>
          </w:p>
        </w:tc>
        <w:tc>
          <w:tcPr>
            <w:tcW w:type="dxa" w:w="2340"/>
          </w:tcPr>
          <w:p>
            <w:pPr>
              <w:keepLines w:val="1"/>
              <w:keepNext w:val="1"/>
            </w:pPr>
            <w:r>
              <w:t>El MTTD es el primer KPI de la cadena de gestión de incidentes</w:t>
            </w:r>
          </w:p>
        </w:tc>
      </w:tr>
      <w:tr>
        <w:trPr>
          <w:cantSplit w:val="1"/>
        </w:trPr>
        <w:tc>
          <w:tcPr>
            <w:tcW w:type="dxa" w:w="2340"/>
          </w:tcPr>
          <w:p>
            <w:pPr>
              <w:keepLines w:val="1"/>
              <w:keepNext w:val="1"/>
            </w:pPr>
            <w:r>
              <w:t>ISO 27001</w:t>
            </w:r>
          </w:p>
        </w:tc>
        <w:tc>
          <w:tcPr>
            <w:tcW w:type="dxa" w:w="2340"/>
          </w:tcPr>
          <w:p>
            <w:pPr>
              <w:keepLines w:val="1"/>
              <w:keepNext w:val="1"/>
            </w:pPr>
            <w:r>
              <w:t>A.5.25 — Monitoring, detection and response</w:t>
            </w:r>
          </w:p>
        </w:tc>
        <w:tc>
          <w:tcPr>
            <w:tcW w:type="dxa" w:w="2340"/>
          </w:tcPr>
          <w:p>
            <w:pPr>
              <w:keepLines w:val="1"/>
              <w:keepNext w:val="1"/>
            </w:pPr>
            <w:r>
              <w:t>Directo</w:t>
            </w:r>
          </w:p>
        </w:tc>
        <w:tc>
          <w:tcPr>
            <w:tcW w:type="dxa" w:w="2340"/>
          </w:tcPr>
          <w:p>
            <w:pPr>
              <w:keepLines w:val="1"/>
              <w:keepNext w:val="1"/>
            </w:pPr>
            <w:r>
              <w:t>Monitorización y detección son controles explícitos</w:t>
            </w:r>
          </w:p>
        </w:tc>
      </w:tr>
      <w:tr>
        <w:trPr>
          <w:cantSplit w:val="1"/>
        </w:trPr>
        <w:tc>
          <w:tcPr>
            <w:tcW w:type="dxa" w:w="2340"/>
          </w:tcPr>
          <w:p>
            <w:pPr>
              <w:keepLines w:val="1"/>
              <w:keepNext w:val="1"/>
            </w:pPr>
            <w:r>
              <w:t>NIST CSF 2.0</w:t>
            </w:r>
          </w:p>
        </w:tc>
        <w:tc>
          <w:tcPr>
            <w:tcW w:type="dxa" w:w="2340"/>
          </w:tcPr>
          <w:p>
            <w:pPr>
              <w:keepLines w:val="1"/>
              <w:keepNext w:val="1"/>
            </w:pPr>
            <w:r>
              <w:t>DE.CM — Continuous Monitoring</w:t>
            </w:r>
          </w:p>
        </w:tc>
        <w:tc>
          <w:tcPr>
            <w:tcW w:type="dxa" w:w="2340"/>
          </w:tcPr>
          <w:p>
            <w:pPr>
              <w:keepLines w:val="1"/>
              <w:keepNext w:val="1"/>
            </w:pPr>
            <w:r>
              <w:t>Directo</w:t>
            </w:r>
          </w:p>
        </w:tc>
        <w:tc>
          <w:tcPr>
            <w:tcW w:type="dxa" w:w="2340"/>
          </w:tcPr>
          <w:p>
            <w:pPr>
              <w:keepLines w:val="1"/>
              <w:keepNext w:val="1"/>
            </w:pPr>
            <w:r>
              <w:t>El MTTD es la métrica central de la función Detect del CSF</w:t>
            </w:r>
          </w:p>
        </w:tc>
      </w:tr>
      <w:tr>
        <w:trPr>
          <w:cantSplit w:val="1"/>
        </w:trPr>
        <w:tc>
          <w:tcPr>
            <w:tcW w:type="dxa" w:w="2340"/>
          </w:tcPr>
          <w:p>
            <w:pPr>
              <w:keepLines w:val="1"/>
            </w:pPr>
            <w:r>
              <w:t>NIST SP 800-55</w:t>
            </w:r>
          </w:p>
        </w:tc>
        <w:tc>
          <w:tcPr>
            <w:tcW w:type="dxa" w:w="2340"/>
          </w:tcPr>
          <w:p>
            <w:pPr>
              <w:keepLines w:val="1"/>
            </w:pPr>
            <w:r>
              <w:t>Measure 3.1 — Mean Time to Detect</w:t>
            </w:r>
          </w:p>
        </w:tc>
        <w:tc>
          <w:tcPr>
            <w:tcW w:type="dxa" w:w="2340"/>
          </w:tcPr>
          <w:p>
            <w:pPr>
              <w:keepLines w:val="1"/>
            </w:pPr>
            <w:r>
              <w:t>Metodológico</w:t>
            </w:r>
          </w:p>
        </w:tc>
        <w:tc>
          <w:tcPr>
            <w:tcW w:type="dxa" w:w="2340"/>
          </w:tcPr>
          <w:p>
            <w:pPr>
              <w:keepLines w:val="1"/>
            </w:pPr>
            <w:r>
              <w:t>SP 800-55 define MTTD como métrica de referencia de detección</w:t>
            </w:r>
          </w:p>
        </w:tc>
      </w:tr>
    </w:tbl>
    <w:p/>
    <w:p>
      <w:r>
        <w:rPr>
          <w:b/>
        </w:rPr>
        <w:t>Goal GQM asociado:</w:t>
      </w:r>
      <w:r>
        <w:t xml:space="preserve"> G-SW-1</w:t>
      </w:r>
      <w:r/>
      <w:r>
        <w:br/>
      </w:r>
      <w:r>
        <w:rPr>
          <w:b/>
        </w:rPr>
        <w:t>Score PRAGMATIC:</w:t>
      </w:r>
      <w:r>
        <w:t xml:space="preserve"> 4,7 / 5,0</w:t>
      </w:r>
    </w:p>
    <w:p>
      <w:pPr>
        <w:pStyle w:val="Heading3"/>
        <w:keepNext/>
        <w:keepLines/>
      </w:pPr>
      <w:r>
        <w:t>M-SW-1.3 — CVEs activos mapeados a CAPEC Software de alta severidad</w:t>
      </w:r>
    </w:p>
    <w:tbl>
      <w:tblPr>
        <w:tblStyle w:val="LightGrid-Accent1"/>
        <w:tblW w:type="auto" w:w="0"/>
        <w:tblLook w:firstColumn="1" w:firstRow="1" w:lastColumn="0" w:lastRow="0" w:noHBand="0" w:noVBand="1" w:val="04A0"/>
      </w:tblPr>
      <w:tblGrid>
        <w:gridCol w:w="2340"/>
        <w:gridCol w:w="2340"/>
        <w:gridCol w:w="2340"/>
        <w:gridCol w:w="2340"/>
      </w:tblGrid>
      <w:tr>
        <w:trPr>
          <w:cantSplit w:val="1"/>
        </w:trPr>
        <w:tc>
          <w:tcPr>
            <w:tcW w:type="dxa" w:w="2340"/>
            <w:shd w:fill="0033CC"/>
          </w:tcPr>
          <w:p>
            <w:pPr>
              <w:keepLines w:val="1"/>
              <w:keepNext w:val="1"/>
            </w:pPr>
            <w:r>
              <w:rPr>
                <w:b/>
                <w:color w:val="FFFFFF"/>
              </w:rPr>
              <w:t>Marco</w:t>
            </w:r>
          </w:p>
        </w:tc>
        <w:tc>
          <w:tcPr>
            <w:tcW w:type="dxa" w:w="2340"/>
            <w:shd w:fill="0033CC"/>
          </w:tcPr>
          <w:p>
            <w:pPr>
              <w:keepLines w:val="1"/>
              <w:keepNext w:val="1"/>
            </w:pPr>
            <w:r>
              <w:rPr>
                <w:b/>
                <w:color w:val="FFFFFF"/>
              </w:rPr>
              <w:t>Artículo / Control</w:t>
            </w:r>
          </w:p>
        </w:tc>
        <w:tc>
          <w:tcPr>
            <w:tcW w:type="dxa" w:w="2340"/>
            <w:shd w:fill="0033CC"/>
          </w:tcPr>
          <w:p>
            <w:pPr>
              <w:keepLines w:val="1"/>
              <w:keepNext w:val="1"/>
            </w:pPr>
            <w:r>
              <w:rPr>
                <w:b/>
                <w:color w:val="FFFFFF"/>
              </w:rPr>
              <w:t>Tipo de mapeo</w:t>
            </w:r>
          </w:p>
        </w:tc>
        <w:tc>
          <w:tcPr>
            <w:tcW w:type="dxa" w:w="2340"/>
            <w:shd w:fill="0033CC"/>
          </w:tcPr>
          <w:p>
            <w:pPr>
              <w:keepLines w:val="1"/>
              <w:keepNext w:val="1"/>
            </w:pPr>
            <w:r>
              <w:rPr>
                <w:b/>
                <w:color w:val="FFFFFF"/>
              </w:rPr>
              <w:t>Evidencia requerida</w:t>
            </w:r>
          </w:p>
        </w:tc>
      </w:tr>
      <w:tr>
        <w:trPr>
          <w:cantSplit w:val="1"/>
        </w:trPr>
        <w:tc>
          <w:tcPr>
            <w:tcW w:type="dxa" w:w="2340"/>
          </w:tcPr>
          <w:p>
            <w:pPr>
              <w:keepLines w:val="1"/>
              <w:keepNext w:val="1"/>
            </w:pPr>
            <w:r>
              <w:t>NIS2</w:t>
            </w:r>
          </w:p>
        </w:tc>
        <w:tc>
          <w:tcPr>
            <w:tcW w:type="dxa" w:w="2340"/>
          </w:tcPr>
          <w:p>
            <w:pPr>
              <w:keepLines w:val="1"/>
              <w:keepNext w:val="1"/>
            </w:pPr>
            <w:r>
              <w:t>Art. 21.2.a — Gestión de vulnerabilidades</w:t>
            </w:r>
          </w:p>
        </w:tc>
        <w:tc>
          <w:tcPr>
            <w:tcW w:type="dxa" w:w="2340"/>
          </w:tcPr>
          <w:p>
            <w:pPr>
              <w:keepLines w:val="1"/>
              <w:keepNext w:val="1"/>
            </w:pPr>
            <w:r>
              <w:t>Directo</w:t>
            </w:r>
          </w:p>
        </w:tc>
        <w:tc>
          <w:tcPr>
            <w:tcW w:type="dxa" w:w="2340"/>
          </w:tcPr>
          <w:p>
            <w:pPr>
              <w:keepLines w:val="1"/>
              <w:keepNext w:val="1"/>
            </w:pPr>
            <w:r>
              <w:t>Las vulnerabilidades CAPEC-mapeadas son el input del análisis de riesgos</w:t>
            </w:r>
          </w:p>
        </w:tc>
      </w:tr>
      <w:tr>
        <w:trPr>
          <w:cantSplit w:val="1"/>
        </w:trPr>
        <w:tc>
          <w:tcPr>
            <w:tcW w:type="dxa" w:w="2340"/>
          </w:tcPr>
          <w:p>
            <w:pPr>
              <w:keepLines w:val="1"/>
              <w:keepNext w:val="1"/>
            </w:pPr>
            <w:r>
              <w:t>NIS2</w:t>
            </w:r>
          </w:p>
        </w:tc>
        <w:tc>
          <w:tcPr>
            <w:tcW w:type="dxa" w:w="2340"/>
          </w:tcPr>
          <w:p>
            <w:pPr>
              <w:keepLines w:val="1"/>
              <w:keepNext w:val="1"/>
            </w:pPr>
            <w:r>
              <w:t>Art. 21.2.e — Mantenimiento seguro de sistemas</w:t>
            </w:r>
          </w:p>
        </w:tc>
        <w:tc>
          <w:tcPr>
            <w:tcW w:type="dxa" w:w="2340"/>
          </w:tcPr>
          <w:p>
            <w:pPr>
              <w:keepLines w:val="1"/>
              <w:keepNext w:val="1"/>
            </w:pPr>
            <w:r>
              <w:t>Directo</w:t>
            </w:r>
          </w:p>
        </w:tc>
        <w:tc>
          <w:tcPr>
            <w:tcW w:type="dxa" w:w="2340"/>
          </w:tcPr>
          <w:p>
            <w:pPr>
              <w:keepLines w:val="1"/>
              <w:keepNext w:val="1"/>
            </w:pPr>
            <w:r>
              <w:t>Parching como respuesta a CVEs activos</w:t>
            </w:r>
          </w:p>
        </w:tc>
      </w:tr>
      <w:tr>
        <w:trPr>
          <w:cantSplit w:val="1"/>
        </w:trPr>
        <w:tc>
          <w:tcPr>
            <w:tcW w:type="dxa" w:w="2340"/>
          </w:tcPr>
          <w:p>
            <w:pPr>
              <w:keepLines w:val="1"/>
              <w:keepNext w:val="1"/>
            </w:pPr>
            <w:r>
              <w:t>ENS</w:t>
            </w:r>
          </w:p>
        </w:tc>
        <w:tc>
          <w:tcPr>
            <w:tcW w:type="dxa" w:w="2340"/>
          </w:tcPr>
          <w:p>
            <w:pPr>
              <w:keepLines w:val="1"/>
              <w:keepNext w:val="1"/>
            </w:pPr>
            <w:r>
              <w:t>M.op.pl.3 — Gestión de cambios y parches</w:t>
            </w:r>
          </w:p>
        </w:tc>
        <w:tc>
          <w:tcPr>
            <w:tcW w:type="dxa" w:w="2340"/>
          </w:tcPr>
          <w:p>
            <w:pPr>
              <w:keepLines w:val="1"/>
              <w:keepNext w:val="1"/>
            </w:pPr>
            <w:r>
              <w:t>Directo</w:t>
            </w:r>
          </w:p>
        </w:tc>
        <w:tc>
          <w:tcPr>
            <w:tcW w:type="dxa" w:w="2340"/>
          </w:tcPr>
          <w:p>
            <w:pPr>
              <w:keepLines w:val="1"/>
              <w:keepNext w:val="1"/>
            </w:pPr>
            <w:r>
              <w:t>ENS exige proceso formal de gestión de parches</w:t>
            </w:r>
          </w:p>
        </w:tc>
      </w:tr>
      <w:tr>
        <w:trPr>
          <w:cantSplit w:val="1"/>
        </w:trPr>
        <w:tc>
          <w:tcPr>
            <w:tcW w:type="dxa" w:w="2340"/>
          </w:tcPr>
          <w:p>
            <w:pPr>
              <w:keepLines w:val="1"/>
              <w:keepNext w:val="1"/>
            </w:pPr>
            <w:r>
              <w:t>ENS</w:t>
            </w:r>
          </w:p>
        </w:tc>
        <w:tc>
          <w:tcPr>
            <w:tcW w:type="dxa" w:w="2340"/>
          </w:tcPr>
          <w:p>
            <w:pPr>
              <w:keepLines w:val="1"/>
              <w:keepNext w:val="1"/>
            </w:pPr>
            <w:r>
              <w:t>M.op.mon.2 — Vigilancia de la configuración</w:t>
            </w:r>
          </w:p>
        </w:tc>
        <w:tc>
          <w:tcPr>
            <w:tcW w:type="dxa" w:w="2340"/>
          </w:tcPr>
          <w:p>
            <w:pPr>
              <w:keepLines w:val="1"/>
              <w:keepNext w:val="1"/>
            </w:pPr>
            <w:r>
              <w:t>Complementario</w:t>
            </w:r>
          </w:p>
        </w:tc>
        <w:tc>
          <w:tcPr>
            <w:tcW w:type="dxa" w:w="2340"/>
          </w:tcPr>
          <w:p>
            <w:pPr>
              <w:keepLines w:val="1"/>
              <w:keepNext w:val="1"/>
            </w:pPr>
            <w:r>
              <w:t>La vigilancia incluye CVEs activos en el entorno</w:t>
            </w:r>
          </w:p>
        </w:tc>
      </w:tr>
      <w:tr>
        <w:trPr>
          <w:cantSplit w:val="1"/>
        </w:trPr>
        <w:tc>
          <w:tcPr>
            <w:tcW w:type="dxa" w:w="2340"/>
          </w:tcPr>
          <w:p>
            <w:pPr>
              <w:keepLines w:val="1"/>
              <w:keepNext w:val="1"/>
            </w:pPr>
            <w:r>
              <w:t>ISO 27001</w:t>
            </w:r>
          </w:p>
        </w:tc>
        <w:tc>
          <w:tcPr>
            <w:tcW w:type="dxa" w:w="2340"/>
          </w:tcPr>
          <w:p>
            <w:pPr>
              <w:keepLines w:val="1"/>
              <w:keepNext w:val="1"/>
            </w:pPr>
            <w:r>
              <w:t>A.8.8 — Management of technical vulnerabilities</w:t>
            </w:r>
          </w:p>
        </w:tc>
        <w:tc>
          <w:tcPr>
            <w:tcW w:type="dxa" w:w="2340"/>
          </w:tcPr>
          <w:p>
            <w:pPr>
              <w:keepLines w:val="1"/>
              <w:keepNext w:val="1"/>
            </w:pPr>
            <w:r>
              <w:t>Directo</w:t>
            </w:r>
          </w:p>
        </w:tc>
        <w:tc>
          <w:tcPr>
            <w:tcW w:type="dxa" w:w="2340"/>
          </w:tcPr>
          <w:p>
            <w:pPr>
              <w:keepLines w:val="1"/>
              <w:keepNext w:val="1"/>
            </w:pPr>
            <w:r>
              <w:t>Gestión de vulnerabilidades técnicas como control explícito</w:t>
            </w:r>
          </w:p>
        </w:tc>
      </w:tr>
      <w:tr>
        <w:trPr>
          <w:cantSplit w:val="1"/>
        </w:trPr>
        <w:tc>
          <w:tcPr>
            <w:tcW w:type="dxa" w:w="2340"/>
          </w:tcPr>
          <w:p>
            <w:pPr>
              <w:keepLines w:val="1"/>
              <w:keepNext w:val="1"/>
            </w:pPr>
            <w:r>
              <w:t>NIST CSF 2.0</w:t>
            </w:r>
          </w:p>
        </w:tc>
        <w:tc>
          <w:tcPr>
            <w:tcW w:type="dxa" w:w="2340"/>
          </w:tcPr>
          <w:p>
            <w:pPr>
              <w:keepLines w:val="1"/>
              <w:keepNext w:val="1"/>
            </w:pPr>
            <w:r>
              <w:t>ID.RA-1 — Vulnerabilities identified</w:t>
            </w:r>
          </w:p>
        </w:tc>
        <w:tc>
          <w:tcPr>
            <w:tcW w:type="dxa" w:w="2340"/>
          </w:tcPr>
          <w:p>
            <w:pPr>
              <w:keepLines w:val="1"/>
              <w:keepNext w:val="1"/>
            </w:pPr>
            <w:r>
              <w:t>Directo</w:t>
            </w:r>
          </w:p>
        </w:tc>
        <w:tc>
          <w:tcPr>
            <w:tcW w:type="dxa" w:w="2340"/>
          </w:tcPr>
          <w:p>
            <w:pPr>
              <w:keepLines w:val="1"/>
              <w:keepNext w:val="1"/>
            </w:pPr>
            <w:r>
              <w:t>Identificación de vulnerabilidades con mapeo a amenazas CAPEC</w:t>
            </w:r>
          </w:p>
        </w:tc>
      </w:tr>
      <w:tr>
        <w:trPr>
          <w:cantSplit w:val="1"/>
        </w:trPr>
        <w:tc>
          <w:tcPr>
            <w:tcW w:type="dxa" w:w="2340"/>
          </w:tcPr>
          <w:p>
            <w:pPr>
              <w:keepLines w:val="1"/>
            </w:pPr>
            <w:r>
              <w:t>DORA</w:t>
            </w:r>
          </w:p>
        </w:tc>
        <w:tc>
          <w:tcPr>
            <w:tcW w:type="dxa" w:w="2340"/>
          </w:tcPr>
          <w:p>
            <w:pPr>
              <w:keepLines w:val="1"/>
            </w:pPr>
            <w:r>
              <w:t>Art. 6.3 — Gestión de riesgos TIC relacionados con vulnerabilidades</w:t>
            </w:r>
          </w:p>
        </w:tc>
        <w:tc>
          <w:tcPr>
            <w:tcW w:type="dxa" w:w="2340"/>
          </w:tcPr>
          <w:p>
            <w:pPr>
              <w:keepLines w:val="1"/>
            </w:pPr>
            <w:r>
              <w:t>Complementario</w:t>
            </w:r>
          </w:p>
        </w:tc>
        <w:tc>
          <w:tcPr>
            <w:tcW w:type="dxa" w:w="2340"/>
          </w:tcPr>
          <w:p>
            <w:pPr>
              <w:keepLines w:val="1"/>
            </w:pPr>
            <w:r>
              <w:t>DORA exige gestión formal de vulnerabilidades en sistemas TIC críticos</w:t>
            </w:r>
          </w:p>
        </w:tc>
      </w:tr>
    </w:tbl>
    <w:p/>
    <w:p>
      <w:r>
        <w:rPr>
          <w:b/>
        </w:rPr>
        <w:t>Goal GQM asociado:</w:t>
      </w:r>
      <w:r>
        <w:t xml:space="preserve"> G-SW-1</w:t>
      </w:r>
      <w:r/>
      <w:r>
        <w:br/>
      </w:r>
      <w:r>
        <w:rPr>
          <w:b/>
        </w:rPr>
        <w:t>Score PRAGMATIC:</w:t>
      </w:r>
      <w:r>
        <w:t xml:space="preserve"> 4,3 / 5,0</w:t>
      </w:r>
    </w:p>
    <w:p>
      <w:pPr>
        <w:pStyle w:val="Heading3"/>
        <w:keepNext/>
        <w:keepLines/>
      </w:pPr>
      <w:r>
        <w:t>M-SW-2.1 — Tasa de remediación de defectos CAPEC pre-producción</w:t>
      </w:r>
    </w:p>
    <w:tbl>
      <w:tblPr>
        <w:tblStyle w:val="LightGrid-Accent1"/>
        <w:tblW w:type="auto" w:w="0"/>
        <w:tblLook w:firstColumn="1" w:firstRow="1" w:lastColumn="0" w:lastRow="0" w:noHBand="0" w:noVBand="1" w:val="04A0"/>
      </w:tblPr>
      <w:tblGrid>
        <w:gridCol w:w="2340"/>
        <w:gridCol w:w="2340"/>
        <w:gridCol w:w="2340"/>
        <w:gridCol w:w="2340"/>
      </w:tblGrid>
      <w:tr>
        <w:trPr>
          <w:cantSplit w:val="1"/>
        </w:trPr>
        <w:tc>
          <w:tcPr>
            <w:tcW w:type="dxa" w:w="2340"/>
            <w:shd w:fill="0033CC"/>
          </w:tcPr>
          <w:p>
            <w:pPr>
              <w:keepLines w:val="1"/>
              <w:keepNext w:val="1"/>
            </w:pPr>
            <w:r>
              <w:rPr>
                <w:b/>
                <w:color w:val="FFFFFF"/>
              </w:rPr>
              <w:t>Marco</w:t>
            </w:r>
          </w:p>
        </w:tc>
        <w:tc>
          <w:tcPr>
            <w:tcW w:type="dxa" w:w="2340"/>
            <w:shd w:fill="0033CC"/>
          </w:tcPr>
          <w:p>
            <w:pPr>
              <w:keepLines w:val="1"/>
              <w:keepNext w:val="1"/>
            </w:pPr>
            <w:r>
              <w:rPr>
                <w:b/>
                <w:color w:val="FFFFFF"/>
              </w:rPr>
              <w:t>Artículo / Control</w:t>
            </w:r>
          </w:p>
        </w:tc>
        <w:tc>
          <w:tcPr>
            <w:tcW w:type="dxa" w:w="2340"/>
            <w:shd w:fill="0033CC"/>
          </w:tcPr>
          <w:p>
            <w:pPr>
              <w:keepLines w:val="1"/>
              <w:keepNext w:val="1"/>
            </w:pPr>
            <w:r>
              <w:rPr>
                <w:b/>
                <w:color w:val="FFFFFF"/>
              </w:rPr>
              <w:t>Tipo de mapeo</w:t>
            </w:r>
          </w:p>
        </w:tc>
        <w:tc>
          <w:tcPr>
            <w:tcW w:type="dxa" w:w="2340"/>
            <w:shd w:fill="0033CC"/>
          </w:tcPr>
          <w:p>
            <w:pPr>
              <w:keepLines w:val="1"/>
              <w:keepNext w:val="1"/>
            </w:pPr>
            <w:r>
              <w:rPr>
                <w:b/>
                <w:color w:val="FFFFFF"/>
              </w:rPr>
              <w:t>Evidencia requerida</w:t>
            </w:r>
          </w:p>
        </w:tc>
      </w:tr>
      <w:tr>
        <w:trPr>
          <w:cantSplit w:val="1"/>
        </w:trPr>
        <w:tc>
          <w:tcPr>
            <w:tcW w:type="dxa" w:w="2340"/>
          </w:tcPr>
          <w:p>
            <w:pPr>
              <w:keepLines w:val="1"/>
              <w:keepNext w:val="1"/>
            </w:pPr>
            <w:r>
              <w:t>NIS2</w:t>
            </w:r>
          </w:p>
        </w:tc>
        <w:tc>
          <w:tcPr>
            <w:tcW w:type="dxa" w:w="2340"/>
          </w:tcPr>
          <w:p>
            <w:pPr>
              <w:keepLines w:val="1"/>
              <w:keepNext w:val="1"/>
            </w:pPr>
            <w:r>
              <w:t>Art. 21.2.e — Seguridad en desarrollo de aplicaciones</w:t>
            </w:r>
          </w:p>
        </w:tc>
        <w:tc>
          <w:tcPr>
            <w:tcW w:type="dxa" w:w="2340"/>
          </w:tcPr>
          <w:p>
            <w:pPr>
              <w:keepLines w:val="1"/>
              <w:keepNext w:val="1"/>
            </w:pPr>
            <w:r>
              <w:t>Directo</w:t>
            </w:r>
          </w:p>
        </w:tc>
        <w:tc>
          <w:tcPr>
            <w:tcW w:type="dxa" w:w="2340"/>
          </w:tcPr>
          <w:p>
            <w:pPr>
              <w:keepLines w:val="1"/>
              <w:keepNext w:val="1"/>
            </w:pPr>
            <w:r>
              <w:t>La tasa mide la efectividad del SSDLC exigido implícitamente por NIS2</w:t>
            </w:r>
          </w:p>
        </w:tc>
      </w:tr>
      <w:tr>
        <w:trPr>
          <w:cantSplit w:val="1"/>
        </w:trPr>
        <w:tc>
          <w:tcPr>
            <w:tcW w:type="dxa" w:w="2340"/>
          </w:tcPr>
          <w:p>
            <w:pPr>
              <w:keepLines w:val="1"/>
              <w:keepNext w:val="1"/>
            </w:pPr>
            <w:r>
              <w:t>ENS</w:t>
            </w:r>
          </w:p>
        </w:tc>
        <w:tc>
          <w:tcPr>
            <w:tcW w:type="dxa" w:w="2340"/>
          </w:tcPr>
          <w:p>
            <w:pPr>
              <w:keepLines w:val="1"/>
              <w:keepNext w:val="1"/>
            </w:pPr>
            <w:r>
              <w:t>M.op.pl.2 — Desarrollo seguro de aplicaciones</w:t>
            </w:r>
          </w:p>
        </w:tc>
        <w:tc>
          <w:tcPr>
            <w:tcW w:type="dxa" w:w="2340"/>
          </w:tcPr>
          <w:p>
            <w:pPr>
              <w:keepLines w:val="1"/>
              <w:keepNext w:val="1"/>
            </w:pPr>
            <w:r>
              <w:t>Directo</w:t>
            </w:r>
          </w:p>
        </w:tc>
        <w:tc>
          <w:tcPr>
            <w:tcW w:type="dxa" w:w="2340"/>
          </w:tcPr>
          <w:p>
            <w:pPr>
              <w:keepLines w:val="1"/>
              <w:keepNext w:val="1"/>
            </w:pPr>
            <w:r>
              <w:t>ENS exige considerar la seguridad en el ciclo de desarrollo</w:t>
            </w:r>
          </w:p>
        </w:tc>
      </w:tr>
      <w:tr>
        <w:trPr>
          <w:cantSplit w:val="1"/>
        </w:trPr>
        <w:tc>
          <w:tcPr>
            <w:tcW w:type="dxa" w:w="2340"/>
          </w:tcPr>
          <w:p>
            <w:pPr>
              <w:keepLines w:val="1"/>
              <w:keepNext w:val="1"/>
            </w:pPr>
            <w:r>
              <w:t>ISO 27001</w:t>
            </w:r>
          </w:p>
        </w:tc>
        <w:tc>
          <w:tcPr>
            <w:tcW w:type="dxa" w:w="2340"/>
          </w:tcPr>
          <w:p>
            <w:pPr>
              <w:keepLines w:val="1"/>
              <w:keepNext w:val="1"/>
            </w:pPr>
            <w:r>
              <w:t>A.8.25 — Secure development lifecycle</w:t>
            </w:r>
          </w:p>
        </w:tc>
        <w:tc>
          <w:tcPr>
            <w:tcW w:type="dxa" w:w="2340"/>
          </w:tcPr>
          <w:p>
            <w:pPr>
              <w:keepLines w:val="1"/>
              <w:keepNext w:val="1"/>
            </w:pPr>
            <w:r>
              <w:t>Directo</w:t>
            </w:r>
          </w:p>
        </w:tc>
        <w:tc>
          <w:tcPr>
            <w:tcW w:type="dxa" w:w="2340"/>
          </w:tcPr>
          <w:p>
            <w:pPr>
              <w:keepLines w:val="1"/>
              <w:keepNext w:val="1"/>
            </w:pPr>
            <w:r>
              <w:t>SDL como control explícito; la métrica mide su eficacia</w:t>
            </w:r>
          </w:p>
        </w:tc>
      </w:tr>
      <w:tr>
        <w:trPr>
          <w:cantSplit w:val="1"/>
        </w:trPr>
        <w:tc>
          <w:tcPr>
            <w:tcW w:type="dxa" w:w="2340"/>
          </w:tcPr>
          <w:p>
            <w:pPr>
              <w:keepLines w:val="1"/>
              <w:keepNext w:val="1"/>
            </w:pPr>
            <w:r>
              <w:t>ISO 27001</w:t>
            </w:r>
          </w:p>
        </w:tc>
        <w:tc>
          <w:tcPr>
            <w:tcW w:type="dxa" w:w="2340"/>
          </w:tcPr>
          <w:p>
            <w:pPr>
              <w:keepLines w:val="1"/>
              <w:keepNext w:val="1"/>
            </w:pPr>
            <w:r>
              <w:t>A.8.28 — Secure coding</w:t>
            </w:r>
          </w:p>
        </w:tc>
        <w:tc>
          <w:tcPr>
            <w:tcW w:type="dxa" w:w="2340"/>
          </w:tcPr>
          <w:p>
            <w:pPr>
              <w:keepLines w:val="1"/>
              <w:keepNext w:val="1"/>
            </w:pPr>
            <w:r>
              <w:t>Complementario</w:t>
            </w:r>
          </w:p>
        </w:tc>
        <w:tc>
          <w:tcPr>
            <w:tcW w:type="dxa" w:w="2340"/>
          </w:tcPr>
          <w:p>
            <w:pPr>
              <w:keepLines w:val="1"/>
              <w:keepNext w:val="1"/>
            </w:pPr>
            <w:r>
              <w:t>La codificación segura se verifica mediante SAST/DAST con mapeo CAPEC</w:t>
            </w:r>
          </w:p>
        </w:tc>
      </w:tr>
      <w:tr>
        <w:trPr>
          <w:cantSplit w:val="1"/>
        </w:trPr>
        <w:tc>
          <w:tcPr>
            <w:tcW w:type="dxa" w:w="2340"/>
          </w:tcPr>
          <w:p>
            <w:pPr>
              <w:keepLines w:val="1"/>
              <w:keepNext w:val="1"/>
            </w:pPr>
            <w:r>
              <w:t>NIST CSF 2.0</w:t>
            </w:r>
          </w:p>
        </w:tc>
        <w:tc>
          <w:tcPr>
            <w:tcW w:type="dxa" w:w="2340"/>
          </w:tcPr>
          <w:p>
            <w:pPr>
              <w:keepLines w:val="1"/>
              <w:keepNext w:val="1"/>
            </w:pPr>
            <w:r>
              <w:t>PR.DS-7 — Development/test environments</w:t>
            </w:r>
          </w:p>
        </w:tc>
        <w:tc>
          <w:tcPr>
            <w:tcW w:type="dxa" w:w="2340"/>
          </w:tcPr>
          <w:p>
            <w:pPr>
              <w:keepLines w:val="1"/>
              <w:keepNext w:val="1"/>
            </w:pPr>
            <w:r>
              <w:t>Complementario</w:t>
            </w:r>
          </w:p>
        </w:tc>
        <w:tc>
          <w:tcPr>
            <w:tcW w:type="dxa" w:w="2340"/>
          </w:tcPr>
          <w:p>
            <w:pPr>
              <w:keepLines w:val="1"/>
              <w:keepNext w:val="1"/>
            </w:pPr>
            <w:r>
              <w:t>Entornos de desarrollo seguros como prerrequisito</w:t>
            </w:r>
          </w:p>
        </w:tc>
      </w:tr>
      <w:tr>
        <w:trPr>
          <w:cantSplit w:val="1"/>
        </w:trPr>
        <w:tc>
          <w:tcPr>
            <w:tcW w:type="dxa" w:w="2340"/>
          </w:tcPr>
          <w:p>
            <w:pPr>
              <w:keepLines w:val="1"/>
            </w:pPr>
            <w:r>
              <w:t>NIST SP 800-218</w:t>
            </w:r>
          </w:p>
        </w:tc>
        <w:tc>
          <w:tcPr>
            <w:tcW w:type="dxa" w:w="2340"/>
          </w:tcPr>
          <w:p>
            <w:pPr>
              <w:keepLines w:val="1"/>
            </w:pPr>
            <w:r>
              <w:t>SSDF — Secure Software Development Framework</w:t>
            </w:r>
          </w:p>
        </w:tc>
        <w:tc>
          <w:tcPr>
            <w:tcW w:type="dxa" w:w="2340"/>
          </w:tcPr>
          <w:p>
            <w:pPr>
              <w:keepLines w:val="1"/>
            </w:pPr>
            <w:r>
              <w:t>Directo</w:t>
            </w:r>
          </w:p>
        </w:tc>
        <w:tc>
          <w:tcPr>
            <w:tcW w:type="dxa" w:w="2340"/>
          </w:tcPr>
          <w:p>
            <w:pPr>
              <w:keepLines w:val="1"/>
            </w:pPr>
            <w:r>
              <w:t>El NIST SSDF es el marco de referencia para DevSecOps; la métrica lo operacionaliza</w:t>
            </w:r>
          </w:p>
        </w:tc>
      </w:tr>
    </w:tbl>
    <w:p/>
    <w:p>
      <w:r>
        <w:rPr>
          <w:b/>
        </w:rPr>
        <w:t>Goal GQM asociado:</w:t>
      </w:r>
      <w:r>
        <w:t xml:space="preserve"> G-SW-2</w:t>
      </w:r>
      <w:r/>
      <w:r>
        <w:br/>
      </w:r>
      <w:r>
        <w:rPr>
          <w:b/>
        </w:rPr>
        <w:t>Score PRAGMATIC:</w:t>
      </w:r>
      <w:r>
        <w:t xml:space="preserve"> 4,2 / 5,0</w:t>
      </w:r>
    </w:p>
    <w:p>
      <w:pPr>
        <w:pStyle w:val="Heading2"/>
        <w:keepNext/>
        <w:keepLines/>
      </w:pPr>
      <w:r>
        <w:rPr>
          <w:color w:val="0066CC"/>
        </w:rPr>
        <w:t>DOMINIO INGENIERÍA SOCIAL — Métricas M-IS</w:t>
      </w:r>
    </w:p>
    <w:p>
      <w:pPr>
        <w:pStyle w:val="Heading3"/>
        <w:keepNext/>
        <w:keepLines/>
      </w:pPr>
      <w:r>
        <w:t>M-IS-1.1 — Tasa de respuesta a simulaciones de phishing (CAPEC-98/163)</w:t>
      </w:r>
    </w:p>
    <w:tbl>
      <w:tblPr>
        <w:tblStyle w:val="LightGrid-Accent1"/>
        <w:tblW w:type="auto" w:w="0"/>
        <w:tblLook w:firstColumn="1" w:firstRow="1" w:lastColumn="0" w:lastRow="0" w:noHBand="0" w:noVBand="1" w:val="04A0"/>
      </w:tblPr>
      <w:tblGrid>
        <w:gridCol w:w="2340"/>
        <w:gridCol w:w="2340"/>
        <w:gridCol w:w="2340"/>
        <w:gridCol w:w="2340"/>
      </w:tblGrid>
      <w:tr>
        <w:trPr>
          <w:cantSplit w:val="1"/>
        </w:trPr>
        <w:tc>
          <w:tcPr>
            <w:tcW w:type="dxa" w:w="2340"/>
            <w:shd w:fill="0033CC"/>
          </w:tcPr>
          <w:p>
            <w:pPr>
              <w:keepLines w:val="1"/>
              <w:keepNext w:val="1"/>
            </w:pPr>
            <w:r>
              <w:rPr>
                <w:b/>
                <w:color w:val="FFFFFF"/>
              </w:rPr>
              <w:t>Marco</w:t>
            </w:r>
          </w:p>
        </w:tc>
        <w:tc>
          <w:tcPr>
            <w:tcW w:type="dxa" w:w="2340"/>
            <w:shd w:fill="0033CC"/>
          </w:tcPr>
          <w:p>
            <w:pPr>
              <w:keepLines w:val="1"/>
              <w:keepNext w:val="1"/>
            </w:pPr>
            <w:r>
              <w:rPr>
                <w:b/>
                <w:color w:val="FFFFFF"/>
              </w:rPr>
              <w:t>Artículo / Control</w:t>
            </w:r>
          </w:p>
        </w:tc>
        <w:tc>
          <w:tcPr>
            <w:tcW w:type="dxa" w:w="2340"/>
            <w:shd w:fill="0033CC"/>
          </w:tcPr>
          <w:p>
            <w:pPr>
              <w:keepLines w:val="1"/>
              <w:keepNext w:val="1"/>
            </w:pPr>
            <w:r>
              <w:rPr>
                <w:b/>
                <w:color w:val="FFFFFF"/>
              </w:rPr>
              <w:t>Tipo de mapeo</w:t>
            </w:r>
          </w:p>
        </w:tc>
        <w:tc>
          <w:tcPr>
            <w:tcW w:type="dxa" w:w="2340"/>
            <w:shd w:fill="0033CC"/>
          </w:tcPr>
          <w:p>
            <w:pPr>
              <w:keepLines w:val="1"/>
              <w:keepNext w:val="1"/>
            </w:pPr>
            <w:r>
              <w:rPr>
                <w:b/>
                <w:color w:val="FFFFFF"/>
              </w:rPr>
              <w:t>Evidencia requerida</w:t>
            </w:r>
          </w:p>
        </w:tc>
      </w:tr>
      <w:tr>
        <w:trPr>
          <w:cantSplit w:val="1"/>
        </w:trPr>
        <w:tc>
          <w:tcPr>
            <w:tcW w:type="dxa" w:w="2340"/>
          </w:tcPr>
          <w:p>
            <w:pPr>
              <w:keepLines w:val="1"/>
              <w:keepNext w:val="1"/>
            </w:pPr>
            <w:r>
              <w:t>NIS2</w:t>
            </w:r>
          </w:p>
        </w:tc>
        <w:tc>
          <w:tcPr>
            <w:tcW w:type="dxa" w:w="2340"/>
          </w:tcPr>
          <w:p>
            <w:pPr>
              <w:keepLines w:val="1"/>
              <w:keepNext w:val="1"/>
            </w:pPr>
            <w:r>
              <w:t>Art. 21.2.j — Formación básica en ciberseguridad</w:t>
            </w:r>
          </w:p>
        </w:tc>
        <w:tc>
          <w:tcPr>
            <w:tcW w:type="dxa" w:w="2340"/>
          </w:tcPr>
          <w:p>
            <w:pPr>
              <w:keepLines w:val="1"/>
              <w:keepNext w:val="1"/>
            </w:pPr>
            <w:r>
              <w:t>Directo</w:t>
            </w:r>
          </w:p>
        </w:tc>
        <w:tc>
          <w:tcPr>
            <w:tcW w:type="dxa" w:w="2340"/>
          </w:tcPr>
          <w:p>
            <w:pPr>
              <w:keepLines w:val="1"/>
              <w:keepNext w:val="1"/>
            </w:pPr>
            <w:r>
              <w:t>La tasa de clic post-formación mide la efectividad de la formación NIS2</w:t>
            </w:r>
          </w:p>
        </w:tc>
      </w:tr>
      <w:tr>
        <w:trPr>
          <w:cantSplit w:val="1"/>
        </w:trPr>
        <w:tc>
          <w:tcPr>
            <w:tcW w:type="dxa" w:w="2340"/>
          </w:tcPr>
          <w:p>
            <w:pPr>
              <w:keepLines w:val="1"/>
              <w:keepNext w:val="1"/>
            </w:pPr>
            <w:r>
              <w:t>NIS2</w:t>
            </w:r>
          </w:p>
        </w:tc>
        <w:tc>
          <w:tcPr>
            <w:tcW w:type="dxa" w:w="2340"/>
          </w:tcPr>
          <w:p>
            <w:pPr>
              <w:keepLines w:val="1"/>
              <w:keepNext w:val="1"/>
            </w:pPr>
            <w:r>
              <w:t>Art. 20.2 — Formación del órgano de dirección</w:t>
            </w:r>
          </w:p>
        </w:tc>
        <w:tc>
          <w:tcPr>
            <w:tcW w:type="dxa" w:w="2340"/>
          </w:tcPr>
          <w:p>
            <w:pPr>
              <w:keepLines w:val="1"/>
              <w:keepNext w:val="1"/>
            </w:pPr>
            <w:r>
              <w:t>Complementario</w:t>
            </w:r>
          </w:p>
        </w:tc>
        <w:tc>
          <w:tcPr>
            <w:tcW w:type="dxa" w:w="2340"/>
          </w:tcPr>
          <w:p>
            <w:pPr>
              <w:keepLines w:val="1"/>
              <w:keepNext w:val="1"/>
            </w:pPr>
            <w:r>
              <w:t>Los directivos también son objetivo; su tasa debe medirse separadamente</w:t>
            </w:r>
          </w:p>
        </w:tc>
      </w:tr>
      <w:tr>
        <w:trPr>
          <w:cantSplit w:val="1"/>
        </w:trPr>
        <w:tc>
          <w:tcPr>
            <w:tcW w:type="dxa" w:w="2340"/>
          </w:tcPr>
          <w:p>
            <w:pPr>
              <w:keepLines w:val="1"/>
              <w:keepNext w:val="1"/>
            </w:pPr>
            <w:r>
              <w:t>ENS</w:t>
            </w:r>
          </w:p>
        </w:tc>
        <w:tc>
          <w:tcPr>
            <w:tcW w:type="dxa" w:w="2340"/>
          </w:tcPr>
          <w:p>
            <w:pPr>
              <w:keepLines w:val="1"/>
              <w:keepNext w:val="1"/>
            </w:pPr>
            <w:r>
              <w:t>M.mp.per.3 — Concienciación del personal</w:t>
            </w:r>
          </w:p>
        </w:tc>
        <w:tc>
          <w:tcPr>
            <w:tcW w:type="dxa" w:w="2340"/>
          </w:tcPr>
          <w:p>
            <w:pPr>
              <w:keepLines w:val="1"/>
              <w:keepNext w:val="1"/>
            </w:pPr>
            <w:r>
              <w:t>Directo</w:t>
            </w:r>
          </w:p>
        </w:tc>
        <w:tc>
          <w:tcPr>
            <w:tcW w:type="dxa" w:w="2340"/>
          </w:tcPr>
          <w:p>
            <w:pPr>
              <w:keepLines w:val="1"/>
              <w:keepNext w:val="1"/>
            </w:pPr>
            <w:r>
              <w:t>ENS exige programas de concienciación; la tasa mide su eficacia real</w:t>
            </w:r>
          </w:p>
        </w:tc>
      </w:tr>
      <w:tr>
        <w:trPr>
          <w:cantSplit w:val="1"/>
        </w:trPr>
        <w:tc>
          <w:tcPr>
            <w:tcW w:type="dxa" w:w="2340"/>
          </w:tcPr>
          <w:p>
            <w:pPr>
              <w:keepLines w:val="1"/>
              <w:keepNext w:val="1"/>
            </w:pPr>
            <w:r>
              <w:t>ENS</w:t>
            </w:r>
          </w:p>
        </w:tc>
        <w:tc>
          <w:tcPr>
            <w:tcW w:type="dxa" w:w="2340"/>
          </w:tcPr>
          <w:p>
            <w:pPr>
              <w:keepLines w:val="1"/>
              <w:keepNext w:val="1"/>
            </w:pPr>
            <w:r>
              <w:t>M.mp.per.4 — Formación del personal</w:t>
            </w:r>
          </w:p>
        </w:tc>
        <w:tc>
          <w:tcPr>
            <w:tcW w:type="dxa" w:w="2340"/>
          </w:tcPr>
          <w:p>
            <w:pPr>
              <w:keepLines w:val="1"/>
              <w:keepNext w:val="1"/>
            </w:pPr>
            <w:r>
              <w:t>Complementario</w:t>
            </w:r>
          </w:p>
        </w:tc>
        <w:tc>
          <w:tcPr>
            <w:tcW w:type="dxa" w:w="2340"/>
          </w:tcPr>
          <w:p>
            <w:pPr>
              <w:keepLines w:val="1"/>
              <w:keepNext w:val="1"/>
            </w:pPr>
            <w:r>
              <w:t>Formación específica en técnicas de ingeniería social</w:t>
            </w:r>
          </w:p>
        </w:tc>
      </w:tr>
      <w:tr>
        <w:trPr>
          <w:cantSplit w:val="1"/>
        </w:trPr>
        <w:tc>
          <w:tcPr>
            <w:tcW w:type="dxa" w:w="2340"/>
          </w:tcPr>
          <w:p>
            <w:pPr>
              <w:keepLines w:val="1"/>
              <w:keepNext w:val="1"/>
            </w:pPr>
            <w:r>
              <w:t>ISO 27001</w:t>
            </w:r>
          </w:p>
        </w:tc>
        <w:tc>
          <w:tcPr>
            <w:tcW w:type="dxa" w:w="2340"/>
          </w:tcPr>
          <w:p>
            <w:pPr>
              <w:keepLines w:val="1"/>
              <w:keepNext w:val="1"/>
            </w:pPr>
            <w:r>
              <w:t>A.6.3 — Information security awareness, training</w:t>
            </w:r>
          </w:p>
        </w:tc>
        <w:tc>
          <w:tcPr>
            <w:tcW w:type="dxa" w:w="2340"/>
          </w:tcPr>
          <w:p>
            <w:pPr>
              <w:keepLines w:val="1"/>
              <w:keepNext w:val="1"/>
            </w:pPr>
            <w:r>
              <w:t>Directo</w:t>
            </w:r>
          </w:p>
        </w:tc>
        <w:tc>
          <w:tcPr>
            <w:tcW w:type="dxa" w:w="2340"/>
          </w:tcPr>
          <w:p>
            <w:pPr>
              <w:keepLines w:val="1"/>
              <w:keepNext w:val="1"/>
            </w:pPr>
            <w:r>
              <w:t>Control de formación; la tasa de clic es el outcome medible</w:t>
            </w:r>
          </w:p>
        </w:tc>
      </w:tr>
      <w:tr>
        <w:trPr>
          <w:cantSplit w:val="1"/>
        </w:trPr>
        <w:tc>
          <w:tcPr>
            <w:tcW w:type="dxa" w:w="2340"/>
          </w:tcPr>
          <w:p>
            <w:pPr>
              <w:keepLines w:val="1"/>
              <w:keepNext w:val="1"/>
            </w:pPr>
            <w:r>
              <w:t>NIST CSF 2.0</w:t>
            </w:r>
          </w:p>
        </w:tc>
        <w:tc>
          <w:tcPr>
            <w:tcW w:type="dxa" w:w="2340"/>
          </w:tcPr>
          <w:p>
            <w:pPr>
              <w:keepLines w:val="1"/>
              <w:keepNext w:val="1"/>
            </w:pPr>
            <w:r>
              <w:t>PR.AT-1 — Awareness and training</w:t>
            </w:r>
          </w:p>
        </w:tc>
        <w:tc>
          <w:tcPr>
            <w:tcW w:type="dxa" w:w="2340"/>
          </w:tcPr>
          <w:p>
            <w:pPr>
              <w:keepLines w:val="1"/>
              <w:keepNext w:val="1"/>
            </w:pPr>
            <w:r>
              <w:t>Directo</w:t>
            </w:r>
          </w:p>
        </w:tc>
        <w:tc>
          <w:tcPr>
            <w:tcW w:type="dxa" w:w="2340"/>
          </w:tcPr>
          <w:p>
            <w:pPr>
              <w:keepLines w:val="1"/>
              <w:keepNext w:val="1"/>
            </w:pPr>
            <w:r>
              <w:t>La función Protect del CSF incluye concienciación medida con métricas de comportamiento</w:t>
            </w:r>
          </w:p>
        </w:tc>
      </w:tr>
      <w:tr>
        <w:trPr>
          <w:cantSplit w:val="1"/>
        </w:trPr>
        <w:tc>
          <w:tcPr>
            <w:tcW w:type="dxa" w:w="2340"/>
          </w:tcPr>
          <w:p>
            <w:pPr>
              <w:keepLines w:val="1"/>
            </w:pPr>
            <w:r>
              <w:t>DORA</w:t>
            </w:r>
          </w:p>
        </w:tc>
        <w:tc>
          <w:tcPr>
            <w:tcW w:type="dxa" w:w="2340"/>
          </w:tcPr>
          <w:p>
            <w:pPr>
              <w:keepLines w:val="1"/>
            </w:pPr>
            <w:r>
              <w:t>Art. 5.2.i — Formación en resiliencia digital</w:t>
            </w:r>
          </w:p>
        </w:tc>
        <w:tc>
          <w:tcPr>
            <w:tcW w:type="dxa" w:w="2340"/>
          </w:tcPr>
          <w:p>
            <w:pPr>
              <w:keepLines w:val="1"/>
            </w:pPr>
            <w:r>
              <w:t>Complementario</w:t>
            </w:r>
          </w:p>
        </w:tc>
        <w:tc>
          <w:tcPr>
            <w:tcW w:type="dxa" w:w="2340"/>
          </w:tcPr>
          <w:p>
            <w:pPr>
              <w:keepLines w:val="1"/>
            </w:pPr>
            <w:r>
              <w:t>DORA exige formación en riesgos TIC incluyendo ingeniería social</w:t>
            </w:r>
          </w:p>
        </w:tc>
      </w:tr>
    </w:tbl>
    <w:p/>
    <w:p>
      <w:r>
        <w:rPr>
          <w:b/>
        </w:rPr>
        <w:t>Goal GQM asociado:</w:t>
      </w:r>
      <w:r>
        <w:t xml:space="preserve"> G-IS-1</w:t>
      </w:r>
      <w:r/>
      <w:r>
        <w:br/>
      </w:r>
      <w:r>
        <w:rPr>
          <w:b/>
        </w:rPr>
        <w:t>Score PRAGMATIC:</w:t>
      </w:r>
      <w:r>
        <w:t xml:space="preserve"> 4,3 / 5,0</w:t>
      </w:r>
    </w:p>
    <w:p>
      <w:pPr>
        <w:pStyle w:val="Heading3"/>
        <w:keepNext/>
        <w:keepLines/>
      </w:pPr>
      <w:r>
        <w:t>M-IS-1.2 — Cobertura de clasificación CAPEC en incidentes de ingeniería social</w:t>
      </w:r>
    </w:p>
    <w:tbl>
      <w:tblPr>
        <w:tblStyle w:val="LightGrid-Accent1"/>
        <w:tblW w:type="auto" w:w="0"/>
        <w:tblLook w:firstColumn="1" w:firstRow="1" w:lastColumn="0" w:lastRow="0" w:noHBand="0" w:noVBand="1" w:val="04A0"/>
      </w:tblPr>
      <w:tblGrid>
        <w:gridCol w:w="2340"/>
        <w:gridCol w:w="2340"/>
        <w:gridCol w:w="2340"/>
        <w:gridCol w:w="2340"/>
      </w:tblGrid>
      <w:tr>
        <w:trPr>
          <w:cantSplit w:val="1"/>
        </w:trPr>
        <w:tc>
          <w:tcPr>
            <w:tcW w:type="dxa" w:w="2340"/>
            <w:shd w:fill="0033CC"/>
          </w:tcPr>
          <w:p>
            <w:pPr>
              <w:keepLines w:val="1"/>
              <w:keepNext w:val="1"/>
            </w:pPr>
            <w:r>
              <w:rPr>
                <w:b/>
                <w:color w:val="FFFFFF"/>
              </w:rPr>
              <w:t>Marco</w:t>
            </w:r>
          </w:p>
        </w:tc>
        <w:tc>
          <w:tcPr>
            <w:tcW w:type="dxa" w:w="2340"/>
            <w:shd w:fill="0033CC"/>
          </w:tcPr>
          <w:p>
            <w:pPr>
              <w:keepLines w:val="1"/>
              <w:keepNext w:val="1"/>
            </w:pPr>
            <w:r>
              <w:rPr>
                <w:b/>
                <w:color w:val="FFFFFF"/>
              </w:rPr>
              <w:t>Artículo / Control</w:t>
            </w:r>
          </w:p>
        </w:tc>
        <w:tc>
          <w:tcPr>
            <w:tcW w:type="dxa" w:w="2340"/>
            <w:shd w:fill="0033CC"/>
          </w:tcPr>
          <w:p>
            <w:pPr>
              <w:keepLines w:val="1"/>
              <w:keepNext w:val="1"/>
            </w:pPr>
            <w:r>
              <w:rPr>
                <w:b/>
                <w:color w:val="FFFFFF"/>
              </w:rPr>
              <w:t>Tipo de mapeo</w:t>
            </w:r>
          </w:p>
        </w:tc>
        <w:tc>
          <w:tcPr>
            <w:tcW w:type="dxa" w:w="2340"/>
            <w:shd w:fill="0033CC"/>
          </w:tcPr>
          <w:p>
            <w:pPr>
              <w:keepLines w:val="1"/>
              <w:keepNext w:val="1"/>
            </w:pPr>
            <w:r>
              <w:rPr>
                <w:b/>
                <w:color w:val="FFFFFF"/>
              </w:rPr>
              <w:t>Evidencia requerida</w:t>
            </w:r>
          </w:p>
        </w:tc>
      </w:tr>
      <w:tr>
        <w:trPr>
          <w:cantSplit w:val="1"/>
        </w:trPr>
        <w:tc>
          <w:tcPr>
            <w:tcW w:type="dxa" w:w="2340"/>
          </w:tcPr>
          <w:p>
            <w:pPr>
              <w:keepLines w:val="1"/>
              <w:keepNext w:val="1"/>
            </w:pPr>
            <w:r>
              <w:t>NIS2</w:t>
            </w:r>
          </w:p>
        </w:tc>
        <w:tc>
          <w:tcPr>
            <w:tcW w:type="dxa" w:w="2340"/>
          </w:tcPr>
          <w:p>
            <w:pPr>
              <w:keepLines w:val="1"/>
              <w:keepNext w:val="1"/>
            </w:pPr>
            <w:r>
              <w:t>Art. 23.4 — Contenido del informe final de incidente</w:t>
            </w:r>
          </w:p>
        </w:tc>
        <w:tc>
          <w:tcPr>
            <w:tcW w:type="dxa" w:w="2340"/>
          </w:tcPr>
          <w:p>
            <w:pPr>
              <w:keepLines w:val="1"/>
              <w:keepNext w:val="1"/>
            </w:pPr>
            <w:r>
              <w:t>Directo</w:t>
            </w:r>
          </w:p>
        </w:tc>
        <w:tc>
          <w:tcPr>
            <w:tcW w:type="dxa" w:w="2340"/>
          </w:tcPr>
          <w:p>
            <w:pPr>
              <w:keepLines w:val="1"/>
              <w:keepNext w:val="1"/>
            </w:pPr>
            <w:r>
              <w:t>La clasificación CAPEC enriquece el informe de incidente NIS2</w:t>
            </w:r>
          </w:p>
        </w:tc>
      </w:tr>
      <w:tr>
        <w:trPr>
          <w:cantSplit w:val="1"/>
        </w:trPr>
        <w:tc>
          <w:tcPr>
            <w:tcW w:type="dxa" w:w="2340"/>
          </w:tcPr>
          <w:p>
            <w:pPr>
              <w:keepLines w:val="1"/>
              <w:keepNext w:val="1"/>
            </w:pPr>
            <w:r>
              <w:t>ENS</w:t>
            </w:r>
          </w:p>
        </w:tc>
        <w:tc>
          <w:tcPr>
            <w:tcW w:type="dxa" w:w="2340"/>
          </w:tcPr>
          <w:p>
            <w:pPr>
              <w:keepLines w:val="1"/>
              <w:keepNext w:val="1"/>
            </w:pPr>
            <w:r>
              <w:t>M.op.ir.1 — Registro y análisis de incidentes</w:t>
            </w:r>
          </w:p>
        </w:tc>
        <w:tc>
          <w:tcPr>
            <w:tcW w:type="dxa" w:w="2340"/>
          </w:tcPr>
          <w:p>
            <w:pPr>
              <w:keepLines w:val="1"/>
              <w:keepNext w:val="1"/>
            </w:pPr>
            <w:r>
              <w:t>Directo</w:t>
            </w:r>
          </w:p>
        </w:tc>
        <w:tc>
          <w:tcPr>
            <w:tcW w:type="dxa" w:w="2340"/>
          </w:tcPr>
          <w:p>
            <w:pPr>
              <w:keepLines w:val="1"/>
              <w:keepNext w:val="1"/>
            </w:pPr>
            <w:r>
              <w:t>El registro ENS debe incluir clasificación de la amenaza</w:t>
            </w:r>
          </w:p>
        </w:tc>
      </w:tr>
      <w:tr>
        <w:trPr>
          <w:cantSplit w:val="1"/>
        </w:trPr>
        <w:tc>
          <w:tcPr>
            <w:tcW w:type="dxa" w:w="2340"/>
          </w:tcPr>
          <w:p>
            <w:pPr>
              <w:keepLines w:val="1"/>
              <w:keepNext w:val="1"/>
            </w:pPr>
            <w:r>
              <w:t>DORA</w:t>
            </w:r>
          </w:p>
        </w:tc>
        <w:tc>
          <w:tcPr>
            <w:tcW w:type="dxa" w:w="2340"/>
          </w:tcPr>
          <w:p>
            <w:pPr>
              <w:keepLines w:val="1"/>
              <w:keepNext w:val="1"/>
            </w:pPr>
            <w:r>
              <w:t>Art. 19.6 — Informe de incidente con análisis de causa raíz</w:t>
            </w:r>
          </w:p>
        </w:tc>
        <w:tc>
          <w:tcPr>
            <w:tcW w:type="dxa" w:w="2340"/>
          </w:tcPr>
          <w:p>
            <w:pPr>
              <w:keepLines w:val="1"/>
              <w:keepNext w:val="1"/>
            </w:pPr>
            <w:r>
              <w:t>Complementario</w:t>
            </w:r>
          </w:p>
        </w:tc>
        <w:tc>
          <w:tcPr>
            <w:tcW w:type="dxa" w:w="2340"/>
          </w:tcPr>
          <w:p>
            <w:pPr>
              <w:keepLines w:val="1"/>
              <w:keepNext w:val="1"/>
            </w:pPr>
            <w:r>
              <w:t>La clasificación CAPEC contribuye al análisis de causa raíz DORA</w:t>
            </w:r>
          </w:p>
        </w:tc>
      </w:tr>
      <w:tr>
        <w:trPr>
          <w:cantSplit w:val="1"/>
        </w:trPr>
        <w:tc>
          <w:tcPr>
            <w:tcW w:type="dxa" w:w="2340"/>
          </w:tcPr>
          <w:p>
            <w:pPr>
              <w:keepLines w:val="1"/>
              <w:keepNext w:val="1"/>
            </w:pPr>
            <w:r>
              <w:t>ISO 27001</w:t>
            </w:r>
          </w:p>
        </w:tc>
        <w:tc>
          <w:tcPr>
            <w:tcW w:type="dxa" w:w="2340"/>
          </w:tcPr>
          <w:p>
            <w:pPr>
              <w:keepLines w:val="1"/>
              <w:keepNext w:val="1"/>
            </w:pPr>
            <w:r>
              <w:t>A.5.25 — Reporting and response to incidents</w:t>
            </w:r>
          </w:p>
        </w:tc>
        <w:tc>
          <w:tcPr>
            <w:tcW w:type="dxa" w:w="2340"/>
          </w:tcPr>
          <w:p>
            <w:pPr>
              <w:keepLines w:val="1"/>
              <w:keepNext w:val="1"/>
            </w:pPr>
            <w:r>
              <w:t>Directo</w:t>
            </w:r>
          </w:p>
        </w:tc>
        <w:tc>
          <w:tcPr>
            <w:tcW w:type="dxa" w:w="2340"/>
          </w:tcPr>
          <w:p>
            <w:pPr>
              <w:keepLines w:val="1"/>
              <w:keepNext w:val="1"/>
            </w:pPr>
            <w:r>
              <w:t>El sistema de gestión de incidentes debe clasificar el tipo de ataque</w:t>
            </w:r>
          </w:p>
        </w:tc>
      </w:tr>
      <w:tr>
        <w:trPr>
          <w:cantSplit w:val="1"/>
        </w:trPr>
        <w:tc>
          <w:tcPr>
            <w:tcW w:type="dxa" w:w="2340"/>
          </w:tcPr>
          <w:p>
            <w:pPr>
              <w:keepLines w:val="1"/>
              <w:keepNext w:val="1"/>
            </w:pPr>
            <w:r>
              <w:t>NIST CSF 2.0</w:t>
            </w:r>
          </w:p>
        </w:tc>
        <w:tc>
          <w:tcPr>
            <w:tcW w:type="dxa" w:w="2340"/>
          </w:tcPr>
          <w:p>
            <w:pPr>
              <w:keepLines w:val="1"/>
              <w:keepNext w:val="1"/>
            </w:pPr>
            <w:r>
              <w:t>DE.AE-3 — Event data aggregated</w:t>
            </w:r>
          </w:p>
        </w:tc>
        <w:tc>
          <w:tcPr>
            <w:tcW w:type="dxa" w:w="2340"/>
          </w:tcPr>
          <w:p>
            <w:pPr>
              <w:keepLines w:val="1"/>
              <w:keepNext w:val="1"/>
            </w:pPr>
            <w:r>
              <w:t>Complementario</w:t>
            </w:r>
          </w:p>
        </w:tc>
        <w:tc>
          <w:tcPr>
            <w:tcW w:type="dxa" w:w="2340"/>
          </w:tcPr>
          <w:p>
            <w:pPr>
              <w:keepLines w:val="1"/>
              <w:keepNext w:val="1"/>
            </w:pPr>
            <w:r>
              <w:t>La clasificación CAPEC mejora la calidad del análisis de eventos</w:t>
            </w:r>
          </w:p>
        </w:tc>
      </w:tr>
      <w:tr>
        <w:trPr>
          <w:cantSplit w:val="1"/>
        </w:trPr>
        <w:tc>
          <w:tcPr>
            <w:tcW w:type="dxa" w:w="2340"/>
          </w:tcPr>
          <w:p>
            <w:pPr>
              <w:keepLines w:val="1"/>
            </w:pPr>
            <w:r>
              <w:t>ENC</w:t>
            </w:r>
          </w:p>
        </w:tc>
        <w:tc>
          <w:tcPr>
            <w:tcW w:type="dxa" w:w="2340"/>
          </w:tcPr>
          <w:p>
            <w:pPr>
              <w:keepLines w:val="1"/>
            </w:pPr>
            <w:r>
              <w:t>Objetivo 3 — Capacidades de detección e inteligencia</w:t>
            </w:r>
          </w:p>
        </w:tc>
        <w:tc>
          <w:tcPr>
            <w:tcW w:type="dxa" w:w="2340"/>
          </w:tcPr>
          <w:p>
            <w:pPr>
              <w:keepLines w:val="1"/>
            </w:pPr>
            <w:r>
              <w:t>Directo</w:t>
            </w:r>
          </w:p>
        </w:tc>
        <w:tc>
          <w:tcPr>
            <w:tcW w:type="dxa" w:w="2340"/>
          </w:tcPr>
          <w:p>
            <w:pPr>
              <w:keepLines w:val="1"/>
            </w:pPr>
            <w:r>
              <w:t>La clasificación sistemática alimenta la inteligencia nacional de amenazas</w:t>
            </w:r>
          </w:p>
        </w:tc>
      </w:tr>
    </w:tbl>
    <w:p/>
    <w:p>
      <w:r>
        <w:rPr>
          <w:b/>
        </w:rPr>
        <w:t>Goal GQM asociado:</w:t>
      </w:r>
      <w:r>
        <w:t xml:space="preserve"> G-IS-1</w:t>
      </w:r>
      <w:r/>
      <w:r>
        <w:br/>
      </w:r>
      <w:r>
        <w:rPr>
          <w:b/>
        </w:rPr>
        <w:t>Score PRAGMATIC:</w:t>
      </w:r>
      <w:r>
        <w:t xml:space="preserve"> 3,6 / 5,0</w:t>
      </w:r>
    </w:p>
    <w:p>
      <w:pPr>
        <w:pStyle w:val="Heading3"/>
        <w:keepNext/>
        <w:keepLines/>
      </w:pPr>
      <w:r>
        <w:t>M-IS-1.3 — MTTC (Mean Time to Contain) en ataques de ingeniería social</w:t>
      </w:r>
    </w:p>
    <w:tbl>
      <w:tblPr>
        <w:tblStyle w:val="LightGrid-Accent1"/>
        <w:tblW w:type="auto" w:w="0"/>
        <w:tblLook w:firstColumn="1" w:firstRow="1" w:lastColumn="0" w:lastRow="0" w:noHBand="0" w:noVBand="1" w:val="04A0"/>
      </w:tblPr>
      <w:tblGrid>
        <w:gridCol w:w="2340"/>
        <w:gridCol w:w="2340"/>
        <w:gridCol w:w="2340"/>
        <w:gridCol w:w="2340"/>
      </w:tblGrid>
      <w:tr>
        <w:trPr>
          <w:cantSplit w:val="1"/>
        </w:trPr>
        <w:tc>
          <w:tcPr>
            <w:tcW w:type="dxa" w:w="2340"/>
            <w:shd w:fill="0033CC"/>
          </w:tcPr>
          <w:p>
            <w:pPr>
              <w:keepLines w:val="1"/>
              <w:keepNext w:val="1"/>
            </w:pPr>
            <w:r>
              <w:rPr>
                <w:b/>
                <w:color w:val="FFFFFF"/>
              </w:rPr>
              <w:t>Marco</w:t>
            </w:r>
          </w:p>
        </w:tc>
        <w:tc>
          <w:tcPr>
            <w:tcW w:type="dxa" w:w="2340"/>
            <w:shd w:fill="0033CC"/>
          </w:tcPr>
          <w:p>
            <w:pPr>
              <w:keepLines w:val="1"/>
              <w:keepNext w:val="1"/>
            </w:pPr>
            <w:r>
              <w:rPr>
                <w:b/>
                <w:color w:val="FFFFFF"/>
              </w:rPr>
              <w:t>Artículo / Control</w:t>
            </w:r>
          </w:p>
        </w:tc>
        <w:tc>
          <w:tcPr>
            <w:tcW w:type="dxa" w:w="2340"/>
            <w:shd w:fill="0033CC"/>
          </w:tcPr>
          <w:p>
            <w:pPr>
              <w:keepLines w:val="1"/>
              <w:keepNext w:val="1"/>
            </w:pPr>
            <w:r>
              <w:rPr>
                <w:b/>
                <w:color w:val="FFFFFF"/>
              </w:rPr>
              <w:t>Tipo de mapeo</w:t>
            </w:r>
          </w:p>
        </w:tc>
        <w:tc>
          <w:tcPr>
            <w:tcW w:type="dxa" w:w="2340"/>
            <w:shd w:fill="0033CC"/>
          </w:tcPr>
          <w:p>
            <w:pPr>
              <w:keepLines w:val="1"/>
              <w:keepNext w:val="1"/>
            </w:pPr>
            <w:r>
              <w:rPr>
                <w:b/>
                <w:color w:val="FFFFFF"/>
              </w:rPr>
              <w:t>Evidencia requerida</w:t>
            </w:r>
          </w:p>
        </w:tc>
      </w:tr>
      <w:tr>
        <w:trPr>
          <w:cantSplit w:val="1"/>
        </w:trPr>
        <w:tc>
          <w:tcPr>
            <w:tcW w:type="dxa" w:w="2340"/>
          </w:tcPr>
          <w:p>
            <w:pPr>
              <w:keepLines w:val="1"/>
              <w:keepNext w:val="1"/>
            </w:pPr>
            <w:r>
              <w:t>NIS2</w:t>
            </w:r>
          </w:p>
        </w:tc>
        <w:tc>
          <w:tcPr>
            <w:tcW w:type="dxa" w:w="2340"/>
          </w:tcPr>
          <w:p>
            <w:pPr>
              <w:keepLines w:val="1"/>
              <w:keepNext w:val="1"/>
            </w:pPr>
            <w:r>
              <w:t>Art. 21.2.b — Gestión de incidentes (contención)</w:t>
            </w:r>
          </w:p>
        </w:tc>
        <w:tc>
          <w:tcPr>
            <w:tcW w:type="dxa" w:w="2340"/>
          </w:tcPr>
          <w:p>
            <w:pPr>
              <w:keepLines w:val="1"/>
              <w:keepNext w:val="1"/>
            </w:pPr>
            <w:r>
              <w:t>Directo</w:t>
            </w:r>
          </w:p>
        </w:tc>
        <w:tc>
          <w:tcPr>
            <w:tcW w:type="dxa" w:w="2340"/>
          </w:tcPr>
          <w:p>
            <w:pPr>
              <w:keepLines w:val="1"/>
              <w:keepNext w:val="1"/>
            </w:pPr>
            <w:r>
              <w:t>MTTC es KPI de la capacidad de contención</w:t>
            </w:r>
          </w:p>
        </w:tc>
      </w:tr>
      <w:tr>
        <w:trPr>
          <w:cantSplit w:val="1"/>
        </w:trPr>
        <w:tc>
          <w:tcPr>
            <w:tcW w:type="dxa" w:w="2340"/>
          </w:tcPr>
          <w:p>
            <w:pPr>
              <w:keepLines w:val="1"/>
              <w:keepNext w:val="1"/>
            </w:pPr>
            <w:r>
              <w:t>NIS2</w:t>
            </w:r>
          </w:p>
        </w:tc>
        <w:tc>
          <w:tcPr>
            <w:tcW w:type="dxa" w:w="2340"/>
          </w:tcPr>
          <w:p>
            <w:pPr>
              <w:keepLines w:val="1"/>
              <w:keepNext w:val="1"/>
            </w:pPr>
            <w:r>
              <w:t>Art. 23.1 — Plazos de notificación</w:t>
            </w:r>
          </w:p>
        </w:tc>
        <w:tc>
          <w:tcPr>
            <w:tcW w:type="dxa" w:w="2340"/>
          </w:tcPr>
          <w:p>
            <w:pPr>
              <w:keepLines w:val="1"/>
              <w:keepNext w:val="1"/>
            </w:pPr>
            <w:r>
              <w:t>Complementario</w:t>
            </w:r>
          </w:p>
        </w:tc>
        <w:tc>
          <w:tcPr>
            <w:tcW w:type="dxa" w:w="2340"/>
          </w:tcPr>
          <w:p>
            <w:pPr>
              <w:keepLines w:val="1"/>
              <w:keepNext w:val="1"/>
            </w:pPr>
            <w:r>
              <w:t>MTTC rápido permite notificación más precisa dentro del plazo 72h</w:t>
            </w:r>
          </w:p>
        </w:tc>
      </w:tr>
      <w:tr>
        <w:trPr>
          <w:cantSplit w:val="1"/>
        </w:trPr>
        <w:tc>
          <w:tcPr>
            <w:tcW w:type="dxa" w:w="2340"/>
          </w:tcPr>
          <w:p>
            <w:pPr>
              <w:keepLines w:val="1"/>
              <w:keepNext w:val="1"/>
            </w:pPr>
            <w:r>
              <w:t>DORA</w:t>
            </w:r>
          </w:p>
        </w:tc>
        <w:tc>
          <w:tcPr>
            <w:tcW w:type="dxa" w:w="2340"/>
          </w:tcPr>
          <w:p>
            <w:pPr>
              <w:keepLines w:val="1"/>
              <w:keepNext w:val="1"/>
            </w:pPr>
            <w:r>
              <w:t>Art. 11 — Continuidad de actividades</w:t>
            </w:r>
          </w:p>
        </w:tc>
        <w:tc>
          <w:tcPr>
            <w:tcW w:type="dxa" w:w="2340"/>
          </w:tcPr>
          <w:p>
            <w:pPr>
              <w:keepLines w:val="1"/>
              <w:keepNext w:val="1"/>
            </w:pPr>
            <w:r>
              <w:t>Directo</w:t>
            </w:r>
          </w:p>
        </w:tc>
        <w:tc>
          <w:tcPr>
            <w:tcW w:type="dxa" w:w="2340"/>
          </w:tcPr>
          <w:p>
            <w:pPr>
              <w:keepLines w:val="1"/>
              <w:keepNext w:val="1"/>
            </w:pPr>
            <w:r>
              <w:t>Contención rápida preserva la continuidad operacional</w:t>
            </w:r>
          </w:p>
        </w:tc>
      </w:tr>
      <w:tr>
        <w:trPr>
          <w:cantSplit w:val="1"/>
        </w:trPr>
        <w:tc>
          <w:tcPr>
            <w:tcW w:type="dxa" w:w="2340"/>
          </w:tcPr>
          <w:p>
            <w:pPr>
              <w:keepLines w:val="1"/>
              <w:keepNext w:val="1"/>
            </w:pPr>
            <w:r>
              <w:t>ENS</w:t>
            </w:r>
          </w:p>
        </w:tc>
        <w:tc>
          <w:tcPr>
            <w:tcW w:type="dxa" w:w="2340"/>
          </w:tcPr>
          <w:p>
            <w:pPr>
              <w:keepLines w:val="1"/>
              <w:keepNext w:val="1"/>
            </w:pPr>
            <w:r>
              <w:t>M.op.ir.2 — Gestión de incidentes (respuesta)</w:t>
            </w:r>
          </w:p>
        </w:tc>
        <w:tc>
          <w:tcPr>
            <w:tcW w:type="dxa" w:w="2340"/>
          </w:tcPr>
          <w:p>
            <w:pPr>
              <w:keepLines w:val="1"/>
              <w:keepNext w:val="1"/>
            </w:pPr>
            <w:r>
              <w:t>Directo</w:t>
            </w:r>
          </w:p>
        </w:tc>
        <w:tc>
          <w:tcPr>
            <w:tcW w:type="dxa" w:w="2340"/>
          </w:tcPr>
          <w:p>
            <w:pPr>
              <w:keepLines w:val="1"/>
              <w:keepNext w:val="1"/>
            </w:pPr>
            <w:r>
              <w:t>ENS incluye la contención como fase del proceso de gestión de incidentes</w:t>
            </w:r>
          </w:p>
        </w:tc>
      </w:tr>
      <w:tr>
        <w:trPr>
          <w:cantSplit w:val="1"/>
        </w:trPr>
        <w:tc>
          <w:tcPr>
            <w:tcW w:type="dxa" w:w="2340"/>
          </w:tcPr>
          <w:p>
            <w:pPr>
              <w:keepLines w:val="1"/>
              <w:keepNext w:val="1"/>
            </w:pPr>
            <w:r>
              <w:t>ISO 27001</w:t>
            </w:r>
          </w:p>
        </w:tc>
        <w:tc>
          <w:tcPr>
            <w:tcW w:type="dxa" w:w="2340"/>
          </w:tcPr>
          <w:p>
            <w:pPr>
              <w:keepLines w:val="1"/>
              <w:keepNext w:val="1"/>
            </w:pPr>
            <w:r>
              <w:t>A.5.26 — Response to information security incidents</w:t>
            </w:r>
          </w:p>
        </w:tc>
        <w:tc>
          <w:tcPr>
            <w:tcW w:type="dxa" w:w="2340"/>
          </w:tcPr>
          <w:p>
            <w:pPr>
              <w:keepLines w:val="1"/>
              <w:keepNext w:val="1"/>
            </w:pPr>
            <w:r>
              <w:t>Directo</w:t>
            </w:r>
          </w:p>
        </w:tc>
        <w:tc>
          <w:tcPr>
            <w:tcW w:type="dxa" w:w="2340"/>
          </w:tcPr>
          <w:p>
            <w:pPr>
              <w:keepLines w:val="1"/>
              <w:keepNext w:val="1"/>
            </w:pPr>
            <w:r>
              <w:t>Respuesta y contención como controles explícitos</w:t>
            </w:r>
          </w:p>
        </w:tc>
      </w:tr>
      <w:tr>
        <w:trPr>
          <w:cantSplit w:val="1"/>
        </w:trPr>
        <w:tc>
          <w:tcPr>
            <w:tcW w:type="dxa" w:w="2340"/>
          </w:tcPr>
          <w:p>
            <w:pPr>
              <w:keepLines w:val="1"/>
              <w:keepNext w:val="1"/>
            </w:pPr>
            <w:r>
              <w:t>NIST CSF 2.0</w:t>
            </w:r>
          </w:p>
        </w:tc>
        <w:tc>
          <w:tcPr>
            <w:tcW w:type="dxa" w:w="2340"/>
          </w:tcPr>
          <w:p>
            <w:pPr>
              <w:keepLines w:val="1"/>
              <w:keepNext w:val="1"/>
            </w:pPr>
            <w:r>
              <w:t>RS.MI-1 — Incidents contained</w:t>
            </w:r>
          </w:p>
        </w:tc>
        <w:tc>
          <w:tcPr>
            <w:tcW w:type="dxa" w:w="2340"/>
          </w:tcPr>
          <w:p>
            <w:pPr>
              <w:keepLines w:val="1"/>
              <w:keepNext w:val="1"/>
            </w:pPr>
            <w:r>
              <w:t>Directo</w:t>
            </w:r>
          </w:p>
        </w:tc>
        <w:tc>
          <w:tcPr>
            <w:tcW w:type="dxa" w:w="2340"/>
          </w:tcPr>
          <w:p>
            <w:pPr>
              <w:keepLines w:val="1"/>
              <w:keepNext w:val="1"/>
            </w:pPr>
            <w:r>
              <w:t>La función Respond del CSF tiene MTTC como métrica principal</w:t>
            </w:r>
          </w:p>
        </w:tc>
      </w:tr>
      <w:tr>
        <w:trPr>
          <w:cantSplit w:val="1"/>
        </w:trPr>
        <w:tc>
          <w:tcPr>
            <w:tcW w:type="dxa" w:w="2340"/>
          </w:tcPr>
          <w:p>
            <w:pPr>
              <w:keepLines w:val="1"/>
            </w:pPr>
            <w:r>
              <w:t>NIST SP 800-55</w:t>
            </w:r>
          </w:p>
        </w:tc>
        <w:tc>
          <w:tcPr>
            <w:tcW w:type="dxa" w:w="2340"/>
          </w:tcPr>
          <w:p>
            <w:pPr>
              <w:keepLines w:val="1"/>
            </w:pPr>
            <w:r>
              <w:t>Measure 3.2 — Mean Time to Contain</w:t>
            </w:r>
          </w:p>
        </w:tc>
        <w:tc>
          <w:tcPr>
            <w:tcW w:type="dxa" w:w="2340"/>
          </w:tcPr>
          <w:p>
            <w:pPr>
              <w:keepLines w:val="1"/>
            </w:pPr>
            <w:r>
              <w:t>Metodológico</w:t>
            </w:r>
          </w:p>
        </w:tc>
        <w:tc>
          <w:tcPr>
            <w:tcW w:type="dxa" w:w="2340"/>
          </w:tcPr>
          <w:p>
            <w:pPr>
              <w:keepLines w:val="1"/>
            </w:pPr>
            <w:r>
              <w:t>SP 800-55 define MTTC como métrica de referencia de respuesta</w:t>
            </w:r>
          </w:p>
        </w:tc>
      </w:tr>
    </w:tbl>
    <w:p/>
    <w:p>
      <w:r>
        <w:rPr>
          <w:b/>
        </w:rPr>
        <w:t>Goal GQM asociado:</w:t>
      </w:r>
      <w:r>
        <w:t xml:space="preserve"> G-IS-1</w:t>
      </w:r>
      <w:r/>
      <w:r>
        <w:br/>
      </w:r>
      <w:r>
        <w:rPr>
          <w:b/>
        </w:rPr>
        <w:t>Score PRAGMATIC:</w:t>
      </w:r>
      <w:r>
        <w:t xml:space="preserve"> 4,3 / 5,0</w:t>
      </w:r>
    </w:p>
    <w:p>
      <w:pPr>
        <w:pStyle w:val="Heading2"/>
        <w:keepNext/>
        <w:keepLines/>
      </w:pPr>
      <w:r>
        <w:rPr>
          <w:color w:val="0066CC"/>
        </w:rPr>
        <w:t>DOMINIO CADENA DE SUMINISTRO — Métricas M-SC</w:t>
      </w:r>
    </w:p>
    <w:p>
      <w:pPr>
        <w:pStyle w:val="Heading3"/>
        <w:keepNext/>
        <w:keepLines/>
      </w:pPr>
      <w:r>
        <w:t>M-SC-1.1 — Cobertura SBOM de componentes SW de terceros</w:t>
      </w:r>
    </w:p>
    <w:tbl>
      <w:tblPr>
        <w:tblStyle w:val="LightGrid-Accent1"/>
        <w:tblW w:type="auto" w:w="0"/>
        <w:tblLook w:firstColumn="1" w:firstRow="1" w:lastColumn="0" w:lastRow="0" w:noHBand="0" w:noVBand="1" w:val="04A0"/>
      </w:tblPr>
      <w:tblGrid>
        <w:gridCol w:w="2340"/>
        <w:gridCol w:w="2340"/>
        <w:gridCol w:w="2340"/>
        <w:gridCol w:w="2340"/>
      </w:tblGrid>
      <w:tr>
        <w:trPr>
          <w:cantSplit w:val="1"/>
        </w:trPr>
        <w:tc>
          <w:tcPr>
            <w:tcW w:type="dxa" w:w="2340"/>
            <w:shd w:fill="0033CC"/>
          </w:tcPr>
          <w:p>
            <w:pPr>
              <w:keepLines w:val="1"/>
              <w:keepNext w:val="1"/>
            </w:pPr>
            <w:r>
              <w:rPr>
                <w:b/>
                <w:color w:val="FFFFFF"/>
              </w:rPr>
              <w:t>Marco</w:t>
            </w:r>
          </w:p>
        </w:tc>
        <w:tc>
          <w:tcPr>
            <w:tcW w:type="dxa" w:w="2340"/>
            <w:shd w:fill="0033CC"/>
          </w:tcPr>
          <w:p>
            <w:pPr>
              <w:keepLines w:val="1"/>
              <w:keepNext w:val="1"/>
            </w:pPr>
            <w:r>
              <w:rPr>
                <w:b/>
                <w:color w:val="FFFFFF"/>
              </w:rPr>
              <w:t>Artículo / Control</w:t>
            </w:r>
          </w:p>
        </w:tc>
        <w:tc>
          <w:tcPr>
            <w:tcW w:type="dxa" w:w="2340"/>
            <w:shd w:fill="0033CC"/>
          </w:tcPr>
          <w:p>
            <w:pPr>
              <w:keepLines w:val="1"/>
              <w:keepNext w:val="1"/>
            </w:pPr>
            <w:r>
              <w:rPr>
                <w:b/>
                <w:color w:val="FFFFFF"/>
              </w:rPr>
              <w:t>Tipo de mapeo</w:t>
            </w:r>
          </w:p>
        </w:tc>
        <w:tc>
          <w:tcPr>
            <w:tcW w:type="dxa" w:w="2340"/>
            <w:shd w:fill="0033CC"/>
          </w:tcPr>
          <w:p>
            <w:pPr>
              <w:keepLines w:val="1"/>
              <w:keepNext w:val="1"/>
            </w:pPr>
            <w:r>
              <w:rPr>
                <w:b/>
                <w:color w:val="FFFFFF"/>
              </w:rPr>
              <w:t>Evidencia requerida</w:t>
            </w:r>
          </w:p>
        </w:tc>
      </w:tr>
      <w:tr>
        <w:trPr>
          <w:cantSplit w:val="1"/>
        </w:trPr>
        <w:tc>
          <w:tcPr>
            <w:tcW w:type="dxa" w:w="2340"/>
          </w:tcPr>
          <w:p>
            <w:pPr>
              <w:keepLines w:val="1"/>
              <w:keepNext w:val="1"/>
            </w:pPr>
            <w:r>
              <w:t>NIS2</w:t>
            </w:r>
          </w:p>
        </w:tc>
        <w:tc>
          <w:tcPr>
            <w:tcW w:type="dxa" w:w="2340"/>
          </w:tcPr>
          <w:p>
            <w:pPr>
              <w:keepLines w:val="1"/>
              <w:keepNext w:val="1"/>
            </w:pPr>
            <w:r>
              <w:t>Art. 21.2.d — Seguridad de la cadena de suministro</w:t>
            </w:r>
          </w:p>
        </w:tc>
        <w:tc>
          <w:tcPr>
            <w:tcW w:type="dxa" w:w="2340"/>
          </w:tcPr>
          <w:p>
            <w:pPr>
              <w:keepLines w:val="1"/>
              <w:keepNext w:val="1"/>
            </w:pPr>
            <w:r>
              <w:t>Directo</w:t>
            </w:r>
          </w:p>
        </w:tc>
        <w:tc>
          <w:tcPr>
            <w:tcW w:type="dxa" w:w="2340"/>
          </w:tcPr>
          <w:p>
            <w:pPr>
              <w:keepLines w:val="1"/>
              <w:keepNext w:val="1"/>
            </w:pPr>
            <w:r>
              <w:t>SBOM es la herramienta de trazabilidad que habilita el cumplimiento del Art. 21.2.d</w:t>
            </w:r>
          </w:p>
        </w:tc>
      </w:tr>
      <w:tr>
        <w:trPr>
          <w:cantSplit w:val="1"/>
        </w:trPr>
        <w:tc>
          <w:tcPr>
            <w:tcW w:type="dxa" w:w="2340"/>
          </w:tcPr>
          <w:p>
            <w:pPr>
              <w:keepLines w:val="1"/>
              <w:keepNext w:val="1"/>
            </w:pPr>
            <w:r>
              <w:t>DORA</w:t>
            </w:r>
          </w:p>
        </w:tc>
        <w:tc>
          <w:tcPr>
            <w:tcW w:type="dxa" w:w="2340"/>
          </w:tcPr>
          <w:p>
            <w:pPr>
              <w:keepLines w:val="1"/>
              <w:keepNext w:val="1"/>
            </w:pPr>
            <w:r>
              <w:t>Art. 28 — Gestión del riesgo de proveedores TIC terceros</w:t>
            </w:r>
          </w:p>
        </w:tc>
        <w:tc>
          <w:tcPr>
            <w:tcW w:type="dxa" w:w="2340"/>
          </w:tcPr>
          <w:p>
            <w:pPr>
              <w:keepLines w:val="1"/>
              <w:keepNext w:val="1"/>
            </w:pPr>
            <w:r>
              <w:t>Directo</w:t>
            </w:r>
          </w:p>
        </w:tc>
        <w:tc>
          <w:tcPr>
            <w:tcW w:type="dxa" w:w="2340"/>
          </w:tcPr>
          <w:p>
            <w:pPr>
              <w:keepLines w:val="1"/>
              <w:keepNext w:val="1"/>
            </w:pPr>
            <w:r>
              <w:t>SBOM de proveedores es componente clave de la gestión de riesgo DORA</w:t>
            </w:r>
          </w:p>
        </w:tc>
      </w:tr>
      <w:tr>
        <w:trPr>
          <w:cantSplit w:val="1"/>
        </w:trPr>
        <w:tc>
          <w:tcPr>
            <w:tcW w:type="dxa" w:w="2340"/>
          </w:tcPr>
          <w:p>
            <w:pPr>
              <w:keepLines w:val="1"/>
              <w:keepNext w:val="1"/>
            </w:pPr>
            <w:r>
              <w:t>ENS</w:t>
            </w:r>
          </w:p>
        </w:tc>
        <w:tc>
          <w:tcPr>
            <w:tcW w:type="dxa" w:w="2340"/>
          </w:tcPr>
          <w:p>
            <w:pPr>
              <w:keepLines w:val="1"/>
              <w:keepNext w:val="1"/>
            </w:pPr>
            <w:r>
              <w:t>M.op.ext.1 — Contratación de servicios externos</w:t>
            </w:r>
          </w:p>
        </w:tc>
        <w:tc>
          <w:tcPr>
            <w:tcW w:type="dxa" w:w="2340"/>
          </w:tcPr>
          <w:p>
            <w:pPr>
              <w:keepLines w:val="1"/>
              <w:keepNext w:val="1"/>
            </w:pPr>
            <w:r>
              <w:t>Complementario</w:t>
            </w:r>
          </w:p>
        </w:tc>
        <w:tc>
          <w:tcPr>
            <w:tcW w:type="dxa" w:w="2340"/>
          </w:tcPr>
          <w:p>
            <w:pPr>
              <w:keepLines w:val="1"/>
              <w:keepNext w:val="1"/>
            </w:pPr>
            <w:r>
              <w:t>ENS exige evaluar la seguridad de componentes externos; SBOM lo facilita</w:t>
            </w:r>
          </w:p>
        </w:tc>
      </w:tr>
      <w:tr>
        <w:trPr>
          <w:cantSplit w:val="1"/>
        </w:trPr>
        <w:tc>
          <w:tcPr>
            <w:tcW w:type="dxa" w:w="2340"/>
          </w:tcPr>
          <w:p>
            <w:pPr>
              <w:keepLines w:val="1"/>
              <w:keepNext w:val="1"/>
            </w:pPr>
            <w:r>
              <w:t>ISO 27001</w:t>
            </w:r>
          </w:p>
        </w:tc>
        <w:tc>
          <w:tcPr>
            <w:tcW w:type="dxa" w:w="2340"/>
          </w:tcPr>
          <w:p>
            <w:pPr>
              <w:keepLines w:val="1"/>
              <w:keepNext w:val="1"/>
            </w:pPr>
            <w:r>
              <w:t>A.5.19 — Information security in supplier relationships</w:t>
            </w:r>
          </w:p>
        </w:tc>
        <w:tc>
          <w:tcPr>
            <w:tcW w:type="dxa" w:w="2340"/>
          </w:tcPr>
          <w:p>
            <w:pPr>
              <w:keepLines w:val="1"/>
              <w:keepNext w:val="1"/>
            </w:pPr>
            <w:r>
              <w:t>Directo</w:t>
            </w:r>
          </w:p>
        </w:tc>
        <w:tc>
          <w:tcPr>
            <w:tcW w:type="dxa" w:w="2340"/>
          </w:tcPr>
          <w:p>
            <w:pPr>
              <w:keepLines w:val="1"/>
              <w:keepNext w:val="1"/>
            </w:pPr>
            <w:r>
              <w:t>Relaciones con proveedores; SBOM como instrumento de trazabilidad</w:t>
            </w:r>
          </w:p>
        </w:tc>
      </w:tr>
      <w:tr>
        <w:trPr>
          <w:cantSplit w:val="1"/>
        </w:trPr>
        <w:tc>
          <w:tcPr>
            <w:tcW w:type="dxa" w:w="2340"/>
          </w:tcPr>
          <w:p>
            <w:pPr>
              <w:keepLines w:val="1"/>
              <w:keepNext w:val="1"/>
            </w:pPr>
            <w:r>
              <w:t>ISO 27001</w:t>
            </w:r>
          </w:p>
        </w:tc>
        <w:tc>
          <w:tcPr>
            <w:tcW w:type="dxa" w:w="2340"/>
          </w:tcPr>
          <w:p>
            <w:pPr>
              <w:keepLines w:val="1"/>
              <w:keepNext w:val="1"/>
            </w:pPr>
            <w:r>
              <w:t>A.8.30 — Outsourced development</w:t>
            </w:r>
          </w:p>
        </w:tc>
        <w:tc>
          <w:tcPr>
            <w:tcW w:type="dxa" w:w="2340"/>
          </w:tcPr>
          <w:p>
            <w:pPr>
              <w:keepLines w:val="1"/>
              <w:keepNext w:val="1"/>
            </w:pPr>
            <w:r>
              <w:t>Complementario</w:t>
            </w:r>
          </w:p>
        </w:tc>
        <w:tc>
          <w:tcPr>
            <w:tcW w:type="dxa" w:w="2340"/>
          </w:tcPr>
          <w:p>
            <w:pPr>
              <w:keepLines w:val="1"/>
              <w:keepNext w:val="1"/>
            </w:pPr>
            <w:r>
              <w:t>Desarrollo externalizado requiere visibilidad de componentes</w:t>
            </w:r>
          </w:p>
        </w:tc>
      </w:tr>
      <w:tr>
        <w:trPr>
          <w:cantSplit w:val="1"/>
        </w:trPr>
        <w:tc>
          <w:tcPr>
            <w:tcW w:type="dxa" w:w="2340"/>
          </w:tcPr>
          <w:p>
            <w:pPr>
              <w:keepLines w:val="1"/>
              <w:keepNext w:val="1"/>
            </w:pPr>
            <w:r>
              <w:t>NIST CSF 2.0</w:t>
            </w:r>
          </w:p>
        </w:tc>
        <w:tc>
          <w:tcPr>
            <w:tcW w:type="dxa" w:w="2340"/>
          </w:tcPr>
          <w:p>
            <w:pPr>
              <w:keepLines w:val="1"/>
              <w:keepNext w:val="1"/>
            </w:pPr>
            <w:r>
              <w:t>ID.SC-2 — Suppliers assessed for risk</w:t>
            </w:r>
          </w:p>
        </w:tc>
        <w:tc>
          <w:tcPr>
            <w:tcW w:type="dxa" w:w="2340"/>
          </w:tcPr>
          <w:p>
            <w:pPr>
              <w:keepLines w:val="1"/>
              <w:keepNext w:val="1"/>
            </w:pPr>
            <w:r>
              <w:t>Directo</w:t>
            </w:r>
          </w:p>
        </w:tc>
        <w:tc>
          <w:tcPr>
            <w:tcW w:type="dxa" w:w="2340"/>
          </w:tcPr>
          <w:p>
            <w:pPr>
              <w:keepLines w:val="1"/>
              <w:keepNext w:val="1"/>
            </w:pPr>
            <w:r>
              <w:t>Evaluación de proveedores; SBOM como evidencia de inventario</w:t>
            </w:r>
          </w:p>
        </w:tc>
      </w:tr>
      <w:tr>
        <w:trPr>
          <w:cantSplit w:val="1"/>
        </w:trPr>
        <w:tc>
          <w:tcPr>
            <w:tcW w:type="dxa" w:w="2340"/>
          </w:tcPr>
          <w:p>
            <w:pPr>
              <w:keepLines w:val="1"/>
              <w:keepNext w:val="1"/>
            </w:pPr>
            <w:r>
              <w:t>NIST SSDF</w:t>
            </w:r>
          </w:p>
        </w:tc>
        <w:tc>
          <w:tcPr>
            <w:tcW w:type="dxa" w:w="2340"/>
          </w:tcPr>
          <w:p>
            <w:pPr>
              <w:keepLines w:val="1"/>
              <w:keepNext w:val="1"/>
            </w:pPr>
            <w:r>
              <w:t>PW.4 — Reuse existing well-secured software</w:t>
            </w:r>
          </w:p>
        </w:tc>
        <w:tc>
          <w:tcPr>
            <w:tcW w:type="dxa" w:w="2340"/>
          </w:tcPr>
          <w:p>
            <w:pPr>
              <w:keepLines w:val="1"/>
              <w:keepNext w:val="1"/>
            </w:pPr>
            <w:r>
              <w:t>Complementario</w:t>
            </w:r>
          </w:p>
        </w:tc>
        <w:tc>
          <w:tcPr>
            <w:tcW w:type="dxa" w:w="2340"/>
          </w:tcPr>
          <w:p>
            <w:pPr>
              <w:keepLines w:val="1"/>
              <w:keepNext w:val="1"/>
            </w:pPr>
            <w:r>
              <w:t>El SSDF exige inventariar y evaluar software reutilizado</w:t>
            </w:r>
          </w:p>
        </w:tc>
      </w:tr>
      <w:tr>
        <w:trPr>
          <w:cantSplit w:val="1"/>
        </w:trPr>
        <w:tc>
          <w:tcPr>
            <w:tcW w:type="dxa" w:w="2340"/>
          </w:tcPr>
          <w:p>
            <w:pPr>
              <w:keepLines w:val="1"/>
            </w:pPr>
            <w:r>
              <w:t>EO 14028</w:t>
            </w:r>
          </w:p>
        </w:tc>
        <w:tc>
          <w:tcPr>
            <w:tcW w:type="dxa" w:w="2340"/>
          </w:tcPr>
          <w:p>
            <w:pPr>
              <w:keepLines w:val="1"/>
            </w:pPr>
            <w:r>
              <w:t>Executive Order on Improving Cybersecurity (USA, mayo 2021)</w:t>
            </w:r>
          </w:p>
        </w:tc>
        <w:tc>
          <w:tcPr>
            <w:tcW w:type="dxa" w:w="2340"/>
          </w:tcPr>
          <w:p>
            <w:pPr>
              <w:keepLines w:val="1"/>
            </w:pPr>
            <w:r>
              <w:t>Referencia internacional</w:t>
            </w:r>
          </w:p>
        </w:tc>
        <w:tc>
          <w:tcPr>
            <w:tcW w:type="dxa" w:w="2340"/>
          </w:tcPr>
          <w:p>
            <w:pPr>
              <w:keepLines w:val="1"/>
            </w:pPr>
            <w:r>
              <w:t>EO 14028 establece SBOM como requisito para software vendido al gobierno de EE.UU.</w:t>
            </w:r>
          </w:p>
        </w:tc>
      </w:tr>
    </w:tbl>
    <w:p/>
    <w:p>
      <w:r>
        <w:rPr>
          <w:b/>
        </w:rPr>
        <w:t>Goal GQM asociado:</w:t>
      </w:r>
      <w:r>
        <w:t xml:space="preserve"> G-SC-1</w:t>
      </w:r>
      <w:r/>
      <w:r>
        <w:br/>
      </w:r>
      <w:r>
        <w:rPr>
          <w:b/>
        </w:rPr>
        <w:t>Score PRAGMATIC:</w:t>
      </w:r>
      <w:r>
        <w:t xml:space="preserve"> 4,2 / 5,0</w:t>
      </w:r>
    </w:p>
    <w:p>
      <w:pPr>
        <w:pStyle w:val="Heading3"/>
        <w:keepNext/>
        <w:keepLines/>
      </w:pPr>
      <w:r>
        <w:t>M-SC-1.2 — Ratio de detección pre-producción de vulnerabilidades supply chain</w:t>
      </w:r>
    </w:p>
    <w:tbl>
      <w:tblPr>
        <w:tblStyle w:val="LightGrid-Accent1"/>
        <w:tblW w:type="auto" w:w="0"/>
        <w:tblLook w:firstColumn="1" w:firstRow="1" w:lastColumn="0" w:lastRow="0" w:noHBand="0" w:noVBand="1" w:val="04A0"/>
      </w:tblPr>
      <w:tblGrid>
        <w:gridCol w:w="2340"/>
        <w:gridCol w:w="2340"/>
        <w:gridCol w:w="2340"/>
        <w:gridCol w:w="2340"/>
      </w:tblGrid>
      <w:tr>
        <w:trPr>
          <w:cantSplit w:val="1"/>
        </w:trPr>
        <w:tc>
          <w:tcPr>
            <w:tcW w:type="dxa" w:w="2340"/>
            <w:shd w:fill="0033CC"/>
          </w:tcPr>
          <w:p>
            <w:pPr>
              <w:keepLines w:val="1"/>
              <w:keepNext w:val="1"/>
            </w:pPr>
            <w:r>
              <w:rPr>
                <w:b/>
                <w:color w:val="FFFFFF"/>
              </w:rPr>
              <w:t>Marco</w:t>
            </w:r>
          </w:p>
        </w:tc>
        <w:tc>
          <w:tcPr>
            <w:tcW w:type="dxa" w:w="2340"/>
            <w:shd w:fill="0033CC"/>
          </w:tcPr>
          <w:p>
            <w:pPr>
              <w:keepLines w:val="1"/>
              <w:keepNext w:val="1"/>
            </w:pPr>
            <w:r>
              <w:rPr>
                <w:b/>
                <w:color w:val="FFFFFF"/>
              </w:rPr>
              <w:t>Artículo / Control</w:t>
            </w:r>
          </w:p>
        </w:tc>
        <w:tc>
          <w:tcPr>
            <w:tcW w:type="dxa" w:w="2340"/>
            <w:shd w:fill="0033CC"/>
          </w:tcPr>
          <w:p>
            <w:pPr>
              <w:keepLines w:val="1"/>
              <w:keepNext w:val="1"/>
            </w:pPr>
            <w:r>
              <w:rPr>
                <w:b/>
                <w:color w:val="FFFFFF"/>
              </w:rPr>
              <w:t>Tipo de mapeo</w:t>
            </w:r>
          </w:p>
        </w:tc>
        <w:tc>
          <w:tcPr>
            <w:tcW w:type="dxa" w:w="2340"/>
            <w:shd w:fill="0033CC"/>
          </w:tcPr>
          <w:p>
            <w:pPr>
              <w:keepLines w:val="1"/>
              <w:keepNext w:val="1"/>
            </w:pPr>
            <w:r>
              <w:rPr>
                <w:b/>
                <w:color w:val="FFFFFF"/>
              </w:rPr>
              <w:t>Evidencia requerida</w:t>
            </w:r>
          </w:p>
        </w:tc>
      </w:tr>
      <w:tr>
        <w:trPr>
          <w:cantSplit w:val="1"/>
        </w:trPr>
        <w:tc>
          <w:tcPr>
            <w:tcW w:type="dxa" w:w="2340"/>
          </w:tcPr>
          <w:p>
            <w:pPr>
              <w:keepLines w:val="1"/>
              <w:keepNext w:val="1"/>
            </w:pPr>
            <w:r>
              <w:t>NIS2</w:t>
            </w:r>
          </w:p>
        </w:tc>
        <w:tc>
          <w:tcPr>
            <w:tcW w:type="dxa" w:w="2340"/>
          </w:tcPr>
          <w:p>
            <w:pPr>
              <w:keepLines w:val="1"/>
              <w:keepNext w:val="1"/>
            </w:pPr>
            <w:r>
              <w:t>Art. 21.2.d — Seguridad de la cadena de suministro</w:t>
            </w:r>
          </w:p>
        </w:tc>
        <w:tc>
          <w:tcPr>
            <w:tcW w:type="dxa" w:w="2340"/>
          </w:tcPr>
          <w:p>
            <w:pPr>
              <w:keepLines w:val="1"/>
              <w:keepNext w:val="1"/>
            </w:pPr>
            <w:r>
              <w:t>Directo</w:t>
            </w:r>
          </w:p>
        </w:tc>
        <w:tc>
          <w:tcPr>
            <w:tcW w:type="dxa" w:w="2340"/>
          </w:tcPr>
          <w:p>
            <w:pPr>
              <w:keepLines w:val="1"/>
              <w:keepNext w:val="1"/>
            </w:pPr>
            <w:r>
              <w:t>El ratio mide la efectividad de los controles de supply chain NIS2</w:t>
            </w:r>
          </w:p>
        </w:tc>
      </w:tr>
      <w:tr>
        <w:trPr>
          <w:cantSplit w:val="1"/>
        </w:trPr>
        <w:tc>
          <w:tcPr>
            <w:tcW w:type="dxa" w:w="2340"/>
          </w:tcPr>
          <w:p>
            <w:pPr>
              <w:keepLines w:val="1"/>
              <w:keepNext w:val="1"/>
            </w:pPr>
            <w:r>
              <w:t>NIS2</w:t>
            </w:r>
          </w:p>
        </w:tc>
        <w:tc>
          <w:tcPr>
            <w:tcW w:type="dxa" w:w="2340"/>
          </w:tcPr>
          <w:p>
            <w:pPr>
              <w:keepLines w:val="1"/>
              <w:keepNext w:val="1"/>
            </w:pPr>
            <w:r>
              <w:t>Art. 21.2.e — Desarrollo seguro</w:t>
            </w:r>
          </w:p>
        </w:tc>
        <w:tc>
          <w:tcPr>
            <w:tcW w:type="dxa" w:w="2340"/>
          </w:tcPr>
          <w:p>
            <w:pPr>
              <w:keepLines w:val="1"/>
              <w:keepNext w:val="1"/>
            </w:pPr>
            <w:r>
              <w:t>Directo</w:t>
            </w:r>
          </w:p>
        </w:tc>
        <w:tc>
          <w:tcPr>
            <w:tcW w:type="dxa" w:w="2340"/>
          </w:tcPr>
          <w:p>
            <w:pPr>
              <w:keepLines w:val="1"/>
              <w:keepNext w:val="1"/>
            </w:pPr>
            <w:r>
              <w:t>Los controles en el pipeline CI/CD son el mecanismo de detección</w:t>
            </w:r>
          </w:p>
        </w:tc>
      </w:tr>
      <w:tr>
        <w:trPr>
          <w:cantSplit w:val="1"/>
        </w:trPr>
        <w:tc>
          <w:tcPr>
            <w:tcW w:type="dxa" w:w="2340"/>
          </w:tcPr>
          <w:p>
            <w:pPr>
              <w:keepLines w:val="1"/>
              <w:keepNext w:val="1"/>
            </w:pPr>
            <w:r>
              <w:t>DORA</w:t>
            </w:r>
          </w:p>
        </w:tc>
        <w:tc>
          <w:tcPr>
            <w:tcW w:type="dxa" w:w="2340"/>
          </w:tcPr>
          <w:p>
            <w:pPr>
              <w:keepLines w:val="1"/>
              <w:keepNext w:val="1"/>
            </w:pPr>
            <w:r>
              <w:t>Art. 28.3 — Evaluación previa a la subcontratación</w:t>
            </w:r>
          </w:p>
        </w:tc>
        <w:tc>
          <w:tcPr>
            <w:tcW w:type="dxa" w:w="2340"/>
          </w:tcPr>
          <w:p>
            <w:pPr>
              <w:keepLines w:val="1"/>
              <w:keepNext w:val="1"/>
            </w:pPr>
            <w:r>
              <w:t>Complementario</w:t>
            </w:r>
          </w:p>
        </w:tc>
        <w:tc>
          <w:tcPr>
            <w:tcW w:type="dxa" w:w="2340"/>
          </w:tcPr>
          <w:p>
            <w:pPr>
              <w:keepLines w:val="1"/>
              <w:keepNext w:val="1"/>
            </w:pPr>
            <w:r>
              <w:t>Evaluación de riesgo antes del despliegue a producción</w:t>
            </w:r>
          </w:p>
        </w:tc>
      </w:tr>
      <w:tr>
        <w:trPr>
          <w:cantSplit w:val="1"/>
        </w:trPr>
        <w:tc>
          <w:tcPr>
            <w:tcW w:type="dxa" w:w="2340"/>
          </w:tcPr>
          <w:p>
            <w:pPr>
              <w:keepLines w:val="1"/>
              <w:keepNext w:val="1"/>
            </w:pPr>
            <w:r>
              <w:t>ENS</w:t>
            </w:r>
          </w:p>
        </w:tc>
        <w:tc>
          <w:tcPr>
            <w:tcW w:type="dxa" w:w="2340"/>
          </w:tcPr>
          <w:p>
            <w:pPr>
              <w:keepLines w:val="1"/>
              <w:keepNext w:val="1"/>
            </w:pPr>
            <w:r>
              <w:t>M.op.pl.3 — Proceso de gestión de cambios</w:t>
            </w:r>
          </w:p>
        </w:tc>
        <w:tc>
          <w:tcPr>
            <w:tcW w:type="dxa" w:w="2340"/>
          </w:tcPr>
          <w:p>
            <w:pPr>
              <w:keepLines w:val="1"/>
              <w:keepNext w:val="1"/>
            </w:pPr>
            <w:r>
              <w:t>Directo</w:t>
            </w:r>
          </w:p>
        </w:tc>
        <w:tc>
          <w:tcPr>
            <w:tcW w:type="dxa" w:w="2340"/>
          </w:tcPr>
          <w:p>
            <w:pPr>
              <w:keepLines w:val="1"/>
              <w:keepNext w:val="1"/>
            </w:pPr>
            <w:r>
              <w:t>El cambio hacia producción debe pasar controles de seguridad verificables</w:t>
            </w:r>
          </w:p>
        </w:tc>
      </w:tr>
      <w:tr>
        <w:trPr>
          <w:cantSplit w:val="1"/>
        </w:trPr>
        <w:tc>
          <w:tcPr>
            <w:tcW w:type="dxa" w:w="2340"/>
          </w:tcPr>
          <w:p>
            <w:pPr>
              <w:keepLines w:val="1"/>
            </w:pPr>
            <w:r>
              <w:t>NIST SSDF</w:t>
            </w:r>
          </w:p>
        </w:tc>
        <w:tc>
          <w:tcPr>
            <w:tcW w:type="dxa" w:w="2340"/>
          </w:tcPr>
          <w:p>
            <w:pPr>
              <w:keepLines w:val="1"/>
            </w:pPr>
            <w:r>
              <w:t>RV.2 — Assess recorded vulnerabilities</w:t>
            </w:r>
          </w:p>
        </w:tc>
        <w:tc>
          <w:tcPr>
            <w:tcW w:type="dxa" w:w="2340"/>
          </w:tcPr>
          <w:p>
            <w:pPr>
              <w:keepLines w:val="1"/>
            </w:pPr>
            <w:r>
              <w:t>Directo</w:t>
            </w:r>
          </w:p>
        </w:tc>
        <w:tc>
          <w:tcPr>
            <w:tcW w:type="dxa" w:w="2340"/>
          </w:tcPr>
          <w:p>
            <w:pPr>
              <w:keepLines w:val="1"/>
            </w:pPr>
            <w:r>
              <w:t>El SSDF exige evaluar vulnerabilidades identificadas en componentes</w:t>
            </w:r>
          </w:p>
        </w:tc>
      </w:tr>
    </w:tbl>
    <w:p/>
    <w:p>
      <w:r>
        <w:rPr>
          <w:b/>
        </w:rPr>
        <w:t>Goal GQM asociado:</w:t>
      </w:r>
      <w:r>
        <w:t xml:space="preserve"> G-SC-1</w:t>
      </w:r>
      <w:r/>
      <w:r>
        <w:br/>
      </w:r>
      <w:r>
        <w:rPr>
          <w:b/>
        </w:rPr>
        <w:t>Score PRAGMATIC:</w:t>
      </w:r>
      <w:r>
        <w:t xml:space="preserve"> 4,2 / 5,0</w:t>
      </w:r>
    </w:p>
    <w:p>
      <w:pPr>
        <w:pStyle w:val="Heading3"/>
        <w:keepNext/>
        <w:keepLines/>
      </w:pPr>
      <w:r>
        <w:t>M-SC-1.3 — MTTR de vulnerabilidades supply chain</w:t>
      </w:r>
    </w:p>
    <w:tbl>
      <w:tblPr>
        <w:tblStyle w:val="LightGrid-Accent1"/>
        <w:tblW w:type="auto" w:w="0"/>
        <w:tblLook w:firstColumn="1" w:firstRow="1" w:lastColumn="0" w:lastRow="0" w:noHBand="0" w:noVBand="1" w:val="04A0"/>
      </w:tblPr>
      <w:tblGrid>
        <w:gridCol w:w="2340"/>
        <w:gridCol w:w="2340"/>
        <w:gridCol w:w="2340"/>
        <w:gridCol w:w="2340"/>
      </w:tblGrid>
      <w:tr>
        <w:trPr>
          <w:cantSplit w:val="1"/>
        </w:trPr>
        <w:tc>
          <w:tcPr>
            <w:tcW w:type="dxa" w:w="2340"/>
            <w:shd w:fill="0033CC"/>
          </w:tcPr>
          <w:p>
            <w:pPr>
              <w:keepLines w:val="1"/>
              <w:keepNext w:val="1"/>
            </w:pPr>
            <w:r>
              <w:rPr>
                <w:b/>
                <w:color w:val="FFFFFF"/>
              </w:rPr>
              <w:t>Marco</w:t>
            </w:r>
          </w:p>
        </w:tc>
        <w:tc>
          <w:tcPr>
            <w:tcW w:type="dxa" w:w="2340"/>
            <w:shd w:fill="0033CC"/>
          </w:tcPr>
          <w:p>
            <w:pPr>
              <w:keepLines w:val="1"/>
              <w:keepNext w:val="1"/>
            </w:pPr>
            <w:r>
              <w:rPr>
                <w:b/>
                <w:color w:val="FFFFFF"/>
              </w:rPr>
              <w:t>Artículo / Control</w:t>
            </w:r>
          </w:p>
        </w:tc>
        <w:tc>
          <w:tcPr>
            <w:tcW w:type="dxa" w:w="2340"/>
            <w:shd w:fill="0033CC"/>
          </w:tcPr>
          <w:p>
            <w:pPr>
              <w:keepLines w:val="1"/>
              <w:keepNext w:val="1"/>
            </w:pPr>
            <w:r>
              <w:rPr>
                <w:b/>
                <w:color w:val="FFFFFF"/>
              </w:rPr>
              <w:t>Tipo de mapeo</w:t>
            </w:r>
          </w:p>
        </w:tc>
        <w:tc>
          <w:tcPr>
            <w:tcW w:type="dxa" w:w="2340"/>
            <w:shd w:fill="0033CC"/>
          </w:tcPr>
          <w:p>
            <w:pPr>
              <w:keepLines w:val="1"/>
              <w:keepNext w:val="1"/>
            </w:pPr>
            <w:r>
              <w:rPr>
                <w:b/>
                <w:color w:val="FFFFFF"/>
              </w:rPr>
              <w:t>Evidencia requerida</w:t>
            </w:r>
          </w:p>
        </w:tc>
      </w:tr>
      <w:tr>
        <w:trPr>
          <w:cantSplit w:val="1"/>
        </w:trPr>
        <w:tc>
          <w:tcPr>
            <w:tcW w:type="dxa" w:w="2340"/>
          </w:tcPr>
          <w:p>
            <w:pPr>
              <w:keepLines w:val="1"/>
              <w:keepNext w:val="1"/>
            </w:pPr>
            <w:r>
              <w:t>NIS2</w:t>
            </w:r>
          </w:p>
        </w:tc>
        <w:tc>
          <w:tcPr>
            <w:tcW w:type="dxa" w:w="2340"/>
          </w:tcPr>
          <w:p>
            <w:pPr>
              <w:keepLines w:val="1"/>
              <w:keepNext w:val="1"/>
            </w:pPr>
            <w:r>
              <w:t>Art. 21.2.a — Gestión de riesgos (parching oportuno)</w:t>
            </w:r>
          </w:p>
        </w:tc>
        <w:tc>
          <w:tcPr>
            <w:tcW w:type="dxa" w:w="2340"/>
          </w:tcPr>
          <w:p>
            <w:pPr>
              <w:keepLines w:val="1"/>
              <w:keepNext w:val="1"/>
            </w:pPr>
            <w:r>
              <w:t>Directo</w:t>
            </w:r>
          </w:p>
        </w:tc>
        <w:tc>
          <w:tcPr>
            <w:tcW w:type="dxa" w:w="2340"/>
          </w:tcPr>
          <w:p>
            <w:pPr>
              <w:keepLines w:val="1"/>
              <w:keepNext w:val="1"/>
            </w:pPr>
            <w:r>
              <w:t>El MTTR mide la oportunidad del parching como gestión del riesgo</w:t>
            </w:r>
          </w:p>
        </w:tc>
      </w:tr>
      <w:tr>
        <w:trPr>
          <w:cantSplit w:val="1"/>
        </w:trPr>
        <w:tc>
          <w:tcPr>
            <w:tcW w:type="dxa" w:w="2340"/>
          </w:tcPr>
          <w:p>
            <w:pPr>
              <w:keepLines w:val="1"/>
              <w:keepNext w:val="1"/>
            </w:pPr>
            <w:r>
              <w:t>DORA</w:t>
            </w:r>
          </w:p>
        </w:tc>
        <w:tc>
          <w:tcPr>
            <w:tcW w:type="dxa" w:w="2340"/>
          </w:tcPr>
          <w:p>
            <w:pPr>
              <w:keepLines w:val="1"/>
              <w:keepNext w:val="1"/>
            </w:pPr>
            <w:r>
              <w:t>Art. 9.4 — Parching y actualización de sistemas TIC</w:t>
            </w:r>
          </w:p>
        </w:tc>
        <w:tc>
          <w:tcPr>
            <w:tcW w:type="dxa" w:w="2340"/>
          </w:tcPr>
          <w:p>
            <w:pPr>
              <w:keepLines w:val="1"/>
              <w:keepNext w:val="1"/>
            </w:pPr>
            <w:r>
              <w:t>Directo</w:t>
            </w:r>
          </w:p>
        </w:tc>
        <w:tc>
          <w:tcPr>
            <w:tcW w:type="dxa" w:w="2340"/>
          </w:tcPr>
          <w:p>
            <w:pPr>
              <w:keepLines w:val="1"/>
              <w:keepNext w:val="1"/>
            </w:pPr>
            <w:r>
              <w:t>DORA exige parching oportuno; MTTR es su KPI</w:t>
            </w:r>
          </w:p>
        </w:tc>
      </w:tr>
      <w:tr>
        <w:trPr>
          <w:cantSplit w:val="1"/>
        </w:trPr>
        <w:tc>
          <w:tcPr>
            <w:tcW w:type="dxa" w:w="2340"/>
          </w:tcPr>
          <w:p>
            <w:pPr>
              <w:keepLines w:val="1"/>
              <w:keepNext w:val="1"/>
            </w:pPr>
            <w:r>
              <w:t>ENS</w:t>
            </w:r>
          </w:p>
        </w:tc>
        <w:tc>
          <w:tcPr>
            <w:tcW w:type="dxa" w:w="2340"/>
          </w:tcPr>
          <w:p>
            <w:pPr>
              <w:keepLines w:val="1"/>
              <w:keepNext w:val="1"/>
            </w:pPr>
            <w:r>
              <w:t>M.op.pl.3 — Gestión de parches de seguridad</w:t>
            </w:r>
          </w:p>
        </w:tc>
        <w:tc>
          <w:tcPr>
            <w:tcW w:type="dxa" w:w="2340"/>
          </w:tcPr>
          <w:p>
            <w:pPr>
              <w:keepLines w:val="1"/>
              <w:keepNext w:val="1"/>
            </w:pPr>
            <w:r>
              <w:t>Directo</w:t>
            </w:r>
          </w:p>
        </w:tc>
        <w:tc>
          <w:tcPr>
            <w:tcW w:type="dxa" w:w="2340"/>
          </w:tcPr>
          <w:p>
            <w:pPr>
              <w:keepLines w:val="1"/>
              <w:keepNext w:val="1"/>
            </w:pPr>
            <w:r>
              <w:t>ENS exige proceso de parching con plazos definidos por criticidad</w:t>
            </w:r>
          </w:p>
        </w:tc>
      </w:tr>
      <w:tr>
        <w:trPr>
          <w:cantSplit w:val="1"/>
        </w:trPr>
        <w:tc>
          <w:tcPr>
            <w:tcW w:type="dxa" w:w="2340"/>
          </w:tcPr>
          <w:p>
            <w:pPr>
              <w:keepLines w:val="1"/>
              <w:keepNext w:val="1"/>
            </w:pPr>
            <w:r>
              <w:t>ISO 27001</w:t>
            </w:r>
          </w:p>
        </w:tc>
        <w:tc>
          <w:tcPr>
            <w:tcW w:type="dxa" w:w="2340"/>
          </w:tcPr>
          <w:p>
            <w:pPr>
              <w:keepLines w:val="1"/>
              <w:keepNext w:val="1"/>
            </w:pPr>
            <w:r>
              <w:t>A.8.8 — Technical vulnerability management</w:t>
            </w:r>
          </w:p>
        </w:tc>
        <w:tc>
          <w:tcPr>
            <w:tcW w:type="dxa" w:w="2340"/>
          </w:tcPr>
          <w:p>
            <w:pPr>
              <w:keepLines w:val="1"/>
              <w:keepNext w:val="1"/>
            </w:pPr>
            <w:r>
              <w:t>Directo</w:t>
            </w:r>
          </w:p>
        </w:tc>
        <w:tc>
          <w:tcPr>
            <w:tcW w:type="dxa" w:w="2340"/>
          </w:tcPr>
          <w:p>
            <w:pPr>
              <w:keepLines w:val="1"/>
              <w:keepNext w:val="1"/>
            </w:pPr>
            <w:r>
              <w:t>La gestión de vulnerabilidades incluye plazos de remediación</w:t>
            </w:r>
          </w:p>
        </w:tc>
      </w:tr>
      <w:tr>
        <w:trPr>
          <w:cantSplit w:val="1"/>
        </w:trPr>
        <w:tc>
          <w:tcPr>
            <w:tcW w:type="dxa" w:w="2340"/>
          </w:tcPr>
          <w:p>
            <w:pPr>
              <w:keepLines w:val="1"/>
              <w:keepNext w:val="1"/>
            </w:pPr>
            <w:r>
              <w:t>NIST CSF 2.0</w:t>
            </w:r>
          </w:p>
        </w:tc>
        <w:tc>
          <w:tcPr>
            <w:tcW w:type="dxa" w:w="2340"/>
          </w:tcPr>
          <w:p>
            <w:pPr>
              <w:keepLines w:val="1"/>
              <w:keepNext w:val="1"/>
            </w:pPr>
            <w:r>
              <w:t>RC.RP-2 — Recovery actions documented</w:t>
            </w:r>
          </w:p>
        </w:tc>
        <w:tc>
          <w:tcPr>
            <w:tcW w:type="dxa" w:w="2340"/>
          </w:tcPr>
          <w:p>
            <w:pPr>
              <w:keepLines w:val="1"/>
              <w:keepNext w:val="1"/>
            </w:pPr>
            <w:r>
              <w:t>Complementario</w:t>
            </w:r>
          </w:p>
        </w:tc>
        <w:tc>
          <w:tcPr>
            <w:tcW w:type="dxa" w:w="2340"/>
          </w:tcPr>
          <w:p>
            <w:pPr>
              <w:keepLines w:val="1"/>
              <w:keepNext w:val="1"/>
            </w:pPr>
            <w:r>
              <w:t>El MTTR como métrica de recuperación post-identificación</w:t>
            </w:r>
          </w:p>
        </w:tc>
      </w:tr>
      <w:tr>
        <w:trPr>
          <w:cantSplit w:val="1"/>
        </w:trPr>
        <w:tc>
          <w:tcPr>
            <w:tcW w:type="dxa" w:w="2340"/>
          </w:tcPr>
          <w:p>
            <w:pPr>
              <w:keepLines w:val="1"/>
            </w:pPr>
            <w:r>
              <w:t>NIST SP 800-40</w:t>
            </w:r>
          </w:p>
        </w:tc>
        <w:tc>
          <w:tcPr>
            <w:tcW w:type="dxa" w:w="2340"/>
          </w:tcPr>
          <w:p>
            <w:pPr>
              <w:keepLines w:val="1"/>
            </w:pPr>
            <w:r>
              <w:t>Patch Management Guide</w:t>
            </w:r>
          </w:p>
        </w:tc>
        <w:tc>
          <w:tcPr>
            <w:tcW w:type="dxa" w:w="2340"/>
          </w:tcPr>
          <w:p>
            <w:pPr>
              <w:keepLines w:val="1"/>
            </w:pPr>
            <w:r>
              <w:t>Metodológico</w:t>
            </w:r>
          </w:p>
        </w:tc>
        <w:tc>
          <w:tcPr>
            <w:tcW w:type="dxa" w:w="2340"/>
          </w:tcPr>
          <w:p>
            <w:pPr>
              <w:keepLines w:val="1"/>
            </w:pPr>
            <w:r>
              <w:t>SP 800-40 define umbrales de parching por criticidad de CVE</w:t>
            </w:r>
          </w:p>
        </w:tc>
      </w:tr>
    </w:tbl>
    <w:p/>
    <w:p>
      <w:r>
        <w:rPr>
          <w:b/>
        </w:rPr>
        <w:t>Goal GQM asociado:</w:t>
      </w:r>
      <w:r>
        <w:t xml:space="preserve"> G-SC-1</w:t>
      </w:r>
      <w:r/>
      <w:r>
        <w:br/>
      </w:r>
      <w:r>
        <w:rPr>
          <w:b/>
        </w:rPr>
        <w:t>Score PRAGMATIC:</w:t>
      </w:r>
      <w:r>
        <w:t xml:space="preserve"> 4,6 / 5,0</w:t>
      </w:r>
    </w:p>
    <w:p>
      <w:pPr>
        <w:pStyle w:val="Heading2"/>
        <w:keepNext/>
        <w:keepLines/>
      </w:pPr>
      <w:r>
        <w:rPr>
          <w:color w:val="0066CC"/>
        </w:rPr>
        <w:t>DOMINIO COMUNICACIONES — Métricas M-NET</w:t>
      </w:r>
    </w:p>
    <w:p>
      <w:pPr>
        <w:pStyle w:val="Heading3"/>
        <w:keepNext/>
        <w:keepLines/>
      </w:pPr>
      <w:r>
        <w:t>M-NET-1.1 — Cobertura de tráfico con protocolos cifrados vigentes</w:t>
      </w:r>
    </w:p>
    <w:tbl>
      <w:tblPr>
        <w:tblStyle w:val="LightGrid-Accent1"/>
        <w:tblW w:type="auto" w:w="0"/>
        <w:tblLook w:firstColumn="1" w:firstRow="1" w:lastColumn="0" w:lastRow="0" w:noHBand="0" w:noVBand="1" w:val="04A0"/>
      </w:tblPr>
      <w:tblGrid>
        <w:gridCol w:w="2340"/>
        <w:gridCol w:w="2340"/>
        <w:gridCol w:w="2340"/>
        <w:gridCol w:w="2340"/>
      </w:tblGrid>
      <w:tr>
        <w:trPr>
          <w:cantSplit w:val="1"/>
        </w:trPr>
        <w:tc>
          <w:tcPr>
            <w:tcW w:type="dxa" w:w="2340"/>
            <w:shd w:fill="0033CC"/>
          </w:tcPr>
          <w:p>
            <w:pPr>
              <w:keepLines w:val="1"/>
              <w:keepNext w:val="1"/>
            </w:pPr>
            <w:r>
              <w:rPr>
                <w:b/>
                <w:color w:val="FFFFFF"/>
              </w:rPr>
              <w:t>Marco</w:t>
            </w:r>
          </w:p>
        </w:tc>
        <w:tc>
          <w:tcPr>
            <w:tcW w:type="dxa" w:w="2340"/>
            <w:shd w:fill="0033CC"/>
          </w:tcPr>
          <w:p>
            <w:pPr>
              <w:keepLines w:val="1"/>
              <w:keepNext w:val="1"/>
            </w:pPr>
            <w:r>
              <w:rPr>
                <w:b/>
                <w:color w:val="FFFFFF"/>
              </w:rPr>
              <w:t>Artículo / Control</w:t>
            </w:r>
          </w:p>
        </w:tc>
        <w:tc>
          <w:tcPr>
            <w:tcW w:type="dxa" w:w="2340"/>
            <w:shd w:fill="0033CC"/>
          </w:tcPr>
          <w:p>
            <w:pPr>
              <w:keepLines w:val="1"/>
              <w:keepNext w:val="1"/>
            </w:pPr>
            <w:r>
              <w:rPr>
                <w:b/>
                <w:color w:val="FFFFFF"/>
              </w:rPr>
              <w:t>Tipo de mapeo</w:t>
            </w:r>
          </w:p>
        </w:tc>
        <w:tc>
          <w:tcPr>
            <w:tcW w:type="dxa" w:w="2340"/>
            <w:shd w:fill="0033CC"/>
          </w:tcPr>
          <w:p>
            <w:pPr>
              <w:keepLines w:val="1"/>
              <w:keepNext w:val="1"/>
            </w:pPr>
            <w:r>
              <w:rPr>
                <w:b/>
                <w:color w:val="FFFFFF"/>
              </w:rPr>
              <w:t>Evidencia requerida</w:t>
            </w:r>
          </w:p>
        </w:tc>
      </w:tr>
      <w:tr>
        <w:trPr>
          <w:cantSplit w:val="1"/>
        </w:trPr>
        <w:tc>
          <w:tcPr>
            <w:tcW w:type="dxa" w:w="2340"/>
          </w:tcPr>
          <w:p>
            <w:pPr>
              <w:keepLines w:val="1"/>
              <w:keepNext w:val="1"/>
            </w:pPr>
            <w:r>
              <w:t>NIS2</w:t>
            </w:r>
          </w:p>
        </w:tc>
        <w:tc>
          <w:tcPr>
            <w:tcW w:type="dxa" w:w="2340"/>
          </w:tcPr>
          <w:p>
            <w:pPr>
              <w:keepLines w:val="1"/>
              <w:keepNext w:val="1"/>
            </w:pPr>
            <w:r>
              <w:t>Art. 21.2.h — Uso de criptografía y cifrado</w:t>
            </w:r>
          </w:p>
        </w:tc>
        <w:tc>
          <w:tcPr>
            <w:tcW w:type="dxa" w:w="2340"/>
          </w:tcPr>
          <w:p>
            <w:pPr>
              <w:keepLines w:val="1"/>
              <w:keepNext w:val="1"/>
            </w:pPr>
            <w:r>
              <w:t>Directo</w:t>
            </w:r>
          </w:p>
        </w:tc>
        <w:tc>
          <w:tcPr>
            <w:tcW w:type="dxa" w:w="2340"/>
          </w:tcPr>
          <w:p>
            <w:pPr>
              <w:keepLines w:val="1"/>
              <w:keepNext w:val="1"/>
            </w:pPr>
            <w:r>
              <w:t>NIS2 exige uso de criptografía; la cobertura de TLS mide el cumplimiento</w:t>
            </w:r>
          </w:p>
        </w:tc>
      </w:tr>
      <w:tr>
        <w:trPr>
          <w:cantSplit w:val="1"/>
        </w:trPr>
        <w:tc>
          <w:tcPr>
            <w:tcW w:type="dxa" w:w="2340"/>
          </w:tcPr>
          <w:p>
            <w:pPr>
              <w:keepLines w:val="1"/>
              <w:keepNext w:val="1"/>
            </w:pPr>
            <w:r>
              <w:t>ENS</w:t>
            </w:r>
          </w:p>
        </w:tc>
        <w:tc>
          <w:tcPr>
            <w:tcW w:type="dxa" w:w="2340"/>
          </w:tcPr>
          <w:p>
            <w:pPr>
              <w:keepLines w:val="1"/>
              <w:keepNext w:val="1"/>
            </w:pPr>
            <w:r>
              <w:t>M.mp.com.2 — Cifrado de las comunicaciones</w:t>
            </w:r>
          </w:p>
        </w:tc>
        <w:tc>
          <w:tcPr>
            <w:tcW w:type="dxa" w:w="2340"/>
          </w:tcPr>
          <w:p>
            <w:pPr>
              <w:keepLines w:val="1"/>
              <w:keepNext w:val="1"/>
            </w:pPr>
            <w:r>
              <w:t>Directo</w:t>
            </w:r>
          </w:p>
        </w:tc>
        <w:tc>
          <w:tcPr>
            <w:tcW w:type="dxa" w:w="2340"/>
          </w:tcPr>
          <w:p>
            <w:pPr>
              <w:keepLines w:val="1"/>
              <w:keepNext w:val="1"/>
            </w:pPr>
            <w:r>
              <w:t>ENS Nivel Medio/Alto exige cifrado de comunicaciones; métrica verifica cobertura</w:t>
            </w:r>
          </w:p>
        </w:tc>
      </w:tr>
      <w:tr>
        <w:trPr>
          <w:cantSplit w:val="1"/>
        </w:trPr>
        <w:tc>
          <w:tcPr>
            <w:tcW w:type="dxa" w:w="2340"/>
          </w:tcPr>
          <w:p>
            <w:pPr>
              <w:keepLines w:val="1"/>
              <w:keepNext w:val="1"/>
            </w:pPr>
            <w:r>
              <w:t>DORA</w:t>
            </w:r>
          </w:p>
        </w:tc>
        <w:tc>
          <w:tcPr>
            <w:tcW w:type="dxa" w:w="2340"/>
          </w:tcPr>
          <w:p>
            <w:pPr>
              <w:keepLines w:val="1"/>
              <w:keepNext w:val="1"/>
            </w:pPr>
            <w:r>
              <w:t>Art. 9.4.b — Mecanismos de cifrado robustos</w:t>
            </w:r>
          </w:p>
        </w:tc>
        <w:tc>
          <w:tcPr>
            <w:tcW w:type="dxa" w:w="2340"/>
          </w:tcPr>
          <w:p>
            <w:pPr>
              <w:keepLines w:val="1"/>
              <w:keepNext w:val="1"/>
            </w:pPr>
            <w:r>
              <w:t>Directo</w:t>
            </w:r>
          </w:p>
        </w:tc>
        <w:tc>
          <w:tcPr>
            <w:tcW w:type="dxa" w:w="2340"/>
          </w:tcPr>
          <w:p>
            <w:pPr>
              <w:keepLines w:val="1"/>
              <w:keepNext w:val="1"/>
            </w:pPr>
            <w:r>
              <w:t>DORA exige cifrado robusto para datos en tránsito</w:t>
            </w:r>
          </w:p>
        </w:tc>
      </w:tr>
      <w:tr>
        <w:trPr>
          <w:cantSplit w:val="1"/>
        </w:trPr>
        <w:tc>
          <w:tcPr>
            <w:tcW w:type="dxa" w:w="2340"/>
          </w:tcPr>
          <w:p>
            <w:pPr>
              <w:keepLines w:val="1"/>
              <w:keepNext w:val="1"/>
            </w:pPr>
            <w:r>
              <w:t>RGPD</w:t>
            </w:r>
          </w:p>
        </w:tc>
        <w:tc>
          <w:tcPr>
            <w:tcW w:type="dxa" w:w="2340"/>
          </w:tcPr>
          <w:p>
            <w:pPr>
              <w:keepLines w:val="1"/>
              <w:keepNext w:val="1"/>
            </w:pPr>
            <w:r>
              <w:t>Art. 32.1.a — Cifrado de datos personales</w:t>
            </w:r>
          </w:p>
        </w:tc>
        <w:tc>
          <w:tcPr>
            <w:tcW w:type="dxa" w:w="2340"/>
          </w:tcPr>
          <w:p>
            <w:pPr>
              <w:keepLines w:val="1"/>
              <w:keepNext w:val="1"/>
            </w:pPr>
            <w:r>
              <w:t>Complementario</w:t>
            </w:r>
          </w:p>
        </w:tc>
        <w:tc>
          <w:tcPr>
            <w:tcW w:type="dxa" w:w="2340"/>
          </w:tcPr>
          <w:p>
            <w:pPr>
              <w:keepLines w:val="1"/>
              <w:keepNext w:val="1"/>
            </w:pPr>
            <w:r>
              <w:t>El cifrado de comunicaciones protege datos personales en tránsito</w:t>
            </w:r>
          </w:p>
        </w:tc>
      </w:tr>
      <w:tr>
        <w:trPr>
          <w:cantSplit w:val="1"/>
        </w:trPr>
        <w:tc>
          <w:tcPr>
            <w:tcW w:type="dxa" w:w="2340"/>
          </w:tcPr>
          <w:p>
            <w:pPr>
              <w:keepLines w:val="1"/>
              <w:keepNext w:val="1"/>
            </w:pPr>
            <w:r>
              <w:t>ISO 27001</w:t>
            </w:r>
          </w:p>
        </w:tc>
        <w:tc>
          <w:tcPr>
            <w:tcW w:type="dxa" w:w="2340"/>
          </w:tcPr>
          <w:p>
            <w:pPr>
              <w:keepLines w:val="1"/>
              <w:keepNext w:val="1"/>
            </w:pPr>
            <w:r>
              <w:t>A.8.24 — Use of cryptography</w:t>
            </w:r>
          </w:p>
        </w:tc>
        <w:tc>
          <w:tcPr>
            <w:tcW w:type="dxa" w:w="2340"/>
          </w:tcPr>
          <w:p>
            <w:pPr>
              <w:keepLines w:val="1"/>
              <w:keepNext w:val="1"/>
            </w:pPr>
            <w:r>
              <w:t>Directo</w:t>
            </w:r>
          </w:p>
        </w:tc>
        <w:tc>
          <w:tcPr>
            <w:tcW w:type="dxa" w:w="2340"/>
          </w:tcPr>
          <w:p>
            <w:pPr>
              <w:keepLines w:val="1"/>
              <w:keepNext w:val="1"/>
            </w:pPr>
            <w:r>
              <w:t>El uso de criptografía es un control explícito de ISO 27001</w:t>
            </w:r>
          </w:p>
        </w:tc>
      </w:tr>
      <w:tr>
        <w:trPr>
          <w:cantSplit w:val="1"/>
        </w:trPr>
        <w:tc>
          <w:tcPr>
            <w:tcW w:type="dxa" w:w="2340"/>
          </w:tcPr>
          <w:p>
            <w:pPr>
              <w:keepLines w:val="1"/>
              <w:keepNext w:val="1"/>
            </w:pPr>
            <w:r>
              <w:t>NIST CSF 2.0</w:t>
            </w:r>
          </w:p>
        </w:tc>
        <w:tc>
          <w:tcPr>
            <w:tcW w:type="dxa" w:w="2340"/>
          </w:tcPr>
          <w:p>
            <w:pPr>
              <w:keepLines w:val="1"/>
              <w:keepNext w:val="1"/>
            </w:pPr>
            <w:r>
              <w:t>PR.DS-2 — Data-in-transit protected</w:t>
            </w:r>
          </w:p>
        </w:tc>
        <w:tc>
          <w:tcPr>
            <w:tcW w:type="dxa" w:w="2340"/>
          </w:tcPr>
          <w:p>
            <w:pPr>
              <w:keepLines w:val="1"/>
              <w:keepNext w:val="1"/>
            </w:pPr>
            <w:r>
              <w:t>Directo</w:t>
            </w:r>
          </w:p>
        </w:tc>
        <w:tc>
          <w:tcPr>
            <w:tcW w:type="dxa" w:w="2340"/>
          </w:tcPr>
          <w:p>
            <w:pPr>
              <w:keepLines w:val="1"/>
              <w:keepNext w:val="1"/>
            </w:pPr>
            <w:r>
              <w:t>Protección de datos en tránsito; la cobertura de TLS la opera</w:t>
            </w:r>
          </w:p>
        </w:tc>
      </w:tr>
      <w:tr>
        <w:trPr>
          <w:cantSplit w:val="1"/>
        </w:trPr>
        <w:tc>
          <w:tcPr>
            <w:tcW w:type="dxa" w:w="2340"/>
          </w:tcPr>
          <w:p>
            <w:pPr>
              <w:keepLines w:val="1"/>
            </w:pPr>
            <w:r>
              <w:t>NIST PQC</w:t>
            </w:r>
          </w:p>
        </w:tc>
        <w:tc>
          <w:tcPr>
            <w:tcW w:type="dxa" w:w="2340"/>
          </w:tcPr>
          <w:p>
            <w:pPr>
              <w:keepLines w:val="1"/>
            </w:pPr>
            <w:r>
              <w:t>FIPS 203/204/205</w:t>
            </w:r>
          </w:p>
        </w:tc>
        <w:tc>
          <w:tcPr>
            <w:tcW w:type="dxa" w:w="2340"/>
          </w:tcPr>
          <w:p>
            <w:pPr>
              <w:keepLines w:val="1"/>
            </w:pPr>
            <w:r>
              <w:t>Prospectivo</w:t>
            </w:r>
          </w:p>
        </w:tc>
        <w:tc>
          <w:tcPr>
            <w:tcW w:type="dxa" w:w="2340"/>
          </w:tcPr>
          <w:p>
            <w:pPr>
              <w:keepLines w:val="1"/>
            </w:pPr>
            <w:r>
              <w:t>Anticipa la necesidad de migrar el cifrado actual a algoritmos PQC</w:t>
            </w:r>
          </w:p>
        </w:tc>
      </w:tr>
    </w:tbl>
    <w:p/>
    <w:p>
      <w:r>
        <w:rPr>
          <w:b/>
        </w:rPr>
        <w:t>Goal GQM asociado:</w:t>
      </w:r>
      <w:r>
        <w:t xml:space="preserve"> G-NET-1</w:t>
      </w:r>
      <w:r/>
      <w:r>
        <w:br/>
      </w:r>
      <w:r>
        <w:rPr>
          <w:b/>
        </w:rPr>
        <w:t>Score PRAGMATIC:</w:t>
      </w:r>
      <w:r>
        <w:t xml:space="preserve"> 4,0 / 5,0</w:t>
      </w:r>
    </w:p>
    <w:p>
      <w:pPr>
        <w:pStyle w:val="Heading3"/>
        <w:keepNext/>
        <w:keepLines/>
      </w:pPr>
      <w:r>
        <w:t>M-NET-1.2 — Certificados TLS con algoritmos vulnerables</w:t>
      </w:r>
    </w:p>
    <w:tbl>
      <w:tblPr>
        <w:tblStyle w:val="LightGrid-Accent1"/>
        <w:tblW w:type="auto" w:w="0"/>
        <w:tblLook w:firstColumn="1" w:firstRow="1" w:lastColumn="0" w:lastRow="0" w:noHBand="0" w:noVBand="1" w:val="04A0"/>
      </w:tblPr>
      <w:tblGrid>
        <w:gridCol w:w="2340"/>
        <w:gridCol w:w="2340"/>
        <w:gridCol w:w="2340"/>
        <w:gridCol w:w="2340"/>
      </w:tblGrid>
      <w:tr>
        <w:trPr>
          <w:cantSplit w:val="1"/>
        </w:trPr>
        <w:tc>
          <w:tcPr>
            <w:tcW w:type="dxa" w:w="2340"/>
            <w:shd w:fill="0033CC"/>
          </w:tcPr>
          <w:p>
            <w:pPr>
              <w:keepLines w:val="1"/>
              <w:keepNext w:val="1"/>
            </w:pPr>
            <w:r>
              <w:rPr>
                <w:b/>
                <w:color w:val="FFFFFF"/>
              </w:rPr>
              <w:t>Marco</w:t>
            </w:r>
          </w:p>
        </w:tc>
        <w:tc>
          <w:tcPr>
            <w:tcW w:type="dxa" w:w="2340"/>
            <w:shd w:fill="0033CC"/>
          </w:tcPr>
          <w:p>
            <w:pPr>
              <w:keepLines w:val="1"/>
              <w:keepNext w:val="1"/>
            </w:pPr>
            <w:r>
              <w:rPr>
                <w:b/>
                <w:color w:val="FFFFFF"/>
              </w:rPr>
              <w:t>Artículo / Control</w:t>
            </w:r>
          </w:p>
        </w:tc>
        <w:tc>
          <w:tcPr>
            <w:tcW w:type="dxa" w:w="2340"/>
            <w:shd w:fill="0033CC"/>
          </w:tcPr>
          <w:p>
            <w:pPr>
              <w:keepLines w:val="1"/>
              <w:keepNext w:val="1"/>
            </w:pPr>
            <w:r>
              <w:rPr>
                <w:b/>
                <w:color w:val="FFFFFF"/>
              </w:rPr>
              <w:t>Tipo de mapeo</w:t>
            </w:r>
          </w:p>
        </w:tc>
        <w:tc>
          <w:tcPr>
            <w:tcW w:type="dxa" w:w="2340"/>
            <w:shd w:fill="0033CC"/>
          </w:tcPr>
          <w:p>
            <w:pPr>
              <w:keepLines w:val="1"/>
              <w:keepNext w:val="1"/>
            </w:pPr>
            <w:r>
              <w:rPr>
                <w:b/>
                <w:color w:val="FFFFFF"/>
              </w:rPr>
              <w:t>Evidencia requerida</w:t>
            </w:r>
          </w:p>
        </w:tc>
      </w:tr>
      <w:tr>
        <w:trPr>
          <w:cantSplit w:val="1"/>
        </w:trPr>
        <w:tc>
          <w:tcPr>
            <w:tcW w:type="dxa" w:w="2340"/>
          </w:tcPr>
          <w:p>
            <w:pPr>
              <w:keepLines w:val="1"/>
              <w:keepNext w:val="1"/>
            </w:pPr>
            <w:r>
              <w:t>NIS2</w:t>
            </w:r>
          </w:p>
        </w:tc>
        <w:tc>
          <w:tcPr>
            <w:tcW w:type="dxa" w:w="2340"/>
          </w:tcPr>
          <w:p>
            <w:pPr>
              <w:keepLines w:val="1"/>
              <w:keepNext w:val="1"/>
            </w:pPr>
            <w:r>
              <w:t>Art. 21.2.h — Uso apropiado de criptografía y cifrado</w:t>
            </w:r>
          </w:p>
        </w:tc>
        <w:tc>
          <w:tcPr>
            <w:tcW w:type="dxa" w:w="2340"/>
          </w:tcPr>
          <w:p>
            <w:pPr>
              <w:keepLines w:val="1"/>
              <w:keepNext w:val="1"/>
            </w:pPr>
            <w:r>
              <w:t>Directo</w:t>
            </w:r>
          </w:p>
        </w:tc>
        <w:tc>
          <w:tcPr>
            <w:tcW w:type="dxa" w:w="2340"/>
          </w:tcPr>
          <w:p>
            <w:pPr>
              <w:keepLines w:val="1"/>
              <w:keepNext w:val="1"/>
            </w:pPr>
            <w:r>
              <w:t>Algoritmos SHA-1 o RSA-1024 no son "apropiados" según el estado del arte</w:t>
            </w:r>
          </w:p>
        </w:tc>
      </w:tr>
      <w:tr>
        <w:trPr>
          <w:cantSplit w:val="1"/>
        </w:trPr>
        <w:tc>
          <w:tcPr>
            <w:tcW w:type="dxa" w:w="2340"/>
          </w:tcPr>
          <w:p>
            <w:pPr>
              <w:keepLines w:val="1"/>
              <w:keepNext w:val="1"/>
            </w:pPr>
            <w:r>
              <w:t>ENS</w:t>
            </w:r>
          </w:p>
        </w:tc>
        <w:tc>
          <w:tcPr>
            <w:tcW w:type="dxa" w:w="2340"/>
          </w:tcPr>
          <w:p>
            <w:pPr>
              <w:keepLines w:val="1"/>
              <w:keepNext w:val="1"/>
            </w:pPr>
            <w:r>
              <w:t>M.mp.com.2 — Cifrado con algoritmos reconocidos</w:t>
            </w:r>
          </w:p>
        </w:tc>
        <w:tc>
          <w:tcPr>
            <w:tcW w:type="dxa" w:w="2340"/>
          </w:tcPr>
          <w:p>
            <w:pPr>
              <w:keepLines w:val="1"/>
              <w:keepNext w:val="1"/>
            </w:pPr>
            <w:r>
              <w:t>Directo</w:t>
            </w:r>
          </w:p>
        </w:tc>
        <w:tc>
          <w:tcPr>
            <w:tcW w:type="dxa" w:w="2340"/>
          </w:tcPr>
          <w:p>
            <w:pPr>
              <w:keepLines w:val="1"/>
              <w:keepNext w:val="1"/>
            </w:pPr>
            <w:r>
              <w:t>ENS exige algoritmos vigentes; la métrica verifica el cumplimiento</w:t>
            </w:r>
          </w:p>
        </w:tc>
      </w:tr>
      <w:tr>
        <w:trPr>
          <w:cantSplit w:val="1"/>
        </w:trPr>
        <w:tc>
          <w:tcPr>
            <w:tcW w:type="dxa" w:w="2340"/>
          </w:tcPr>
          <w:p>
            <w:pPr>
              <w:keepLines w:val="1"/>
              <w:keepNext w:val="1"/>
            </w:pPr>
            <w:r>
              <w:t>DORA</w:t>
            </w:r>
          </w:p>
        </w:tc>
        <w:tc>
          <w:tcPr>
            <w:tcW w:type="dxa" w:w="2340"/>
          </w:tcPr>
          <w:p>
            <w:pPr>
              <w:keepLines w:val="1"/>
              <w:keepNext w:val="1"/>
            </w:pPr>
            <w:r>
              <w:t>Art. 9.4.b — Cifrado robusto</w:t>
            </w:r>
          </w:p>
        </w:tc>
        <w:tc>
          <w:tcPr>
            <w:tcW w:type="dxa" w:w="2340"/>
          </w:tcPr>
          <w:p>
            <w:pPr>
              <w:keepLines w:val="1"/>
              <w:keepNext w:val="1"/>
            </w:pPr>
            <w:r>
              <w:t>Directo</w:t>
            </w:r>
          </w:p>
        </w:tc>
        <w:tc>
          <w:tcPr>
            <w:tcW w:type="dxa" w:w="2340"/>
          </w:tcPr>
          <w:p>
            <w:pPr>
              <w:keepLines w:val="1"/>
              <w:keepNext w:val="1"/>
            </w:pPr>
            <w:r>
              <w:t>"Robusto" excluye algoritmos con vulnerabilidades conocidas</w:t>
            </w:r>
          </w:p>
        </w:tc>
      </w:tr>
      <w:tr>
        <w:trPr>
          <w:cantSplit w:val="1"/>
        </w:trPr>
        <w:tc>
          <w:tcPr>
            <w:tcW w:type="dxa" w:w="2340"/>
          </w:tcPr>
          <w:p>
            <w:pPr>
              <w:keepLines w:val="1"/>
              <w:keepNext w:val="1"/>
            </w:pPr>
            <w:r>
              <w:t>RGPD</w:t>
            </w:r>
          </w:p>
        </w:tc>
        <w:tc>
          <w:tcPr>
            <w:tcW w:type="dxa" w:w="2340"/>
          </w:tcPr>
          <w:p>
            <w:pPr>
              <w:keepLines w:val="1"/>
              <w:keepNext w:val="1"/>
            </w:pPr>
            <w:r>
              <w:t>Art. 32.1.a — Técnicas de cifrado adecuadas</w:t>
            </w:r>
          </w:p>
        </w:tc>
        <w:tc>
          <w:tcPr>
            <w:tcW w:type="dxa" w:w="2340"/>
          </w:tcPr>
          <w:p>
            <w:pPr>
              <w:keepLines w:val="1"/>
              <w:keepNext w:val="1"/>
            </w:pPr>
            <w:r>
              <w:t>Complementario</w:t>
            </w:r>
          </w:p>
        </w:tc>
        <w:tc>
          <w:tcPr>
            <w:tcW w:type="dxa" w:w="2340"/>
          </w:tcPr>
          <w:p>
            <w:pPr>
              <w:keepLines w:val="1"/>
              <w:keepNext w:val="1"/>
            </w:pPr>
            <w:r>
              <w:t>"Adecuadas" debe interpretarse según el estado actual del arte criptográfico</w:t>
            </w:r>
          </w:p>
        </w:tc>
      </w:tr>
      <w:tr>
        <w:trPr>
          <w:cantSplit w:val="1"/>
        </w:trPr>
        <w:tc>
          <w:tcPr>
            <w:tcW w:type="dxa" w:w="2340"/>
          </w:tcPr>
          <w:p>
            <w:pPr>
              <w:keepLines w:val="1"/>
              <w:keepNext w:val="1"/>
            </w:pPr>
            <w:r>
              <w:t>ISO 27001</w:t>
            </w:r>
          </w:p>
        </w:tc>
        <w:tc>
          <w:tcPr>
            <w:tcW w:type="dxa" w:w="2340"/>
          </w:tcPr>
          <w:p>
            <w:pPr>
              <w:keepLines w:val="1"/>
              <w:keepNext w:val="1"/>
            </w:pPr>
            <w:r>
              <w:t>A.8.24 — Use of cryptography (policy)</w:t>
            </w:r>
          </w:p>
        </w:tc>
        <w:tc>
          <w:tcPr>
            <w:tcW w:type="dxa" w:w="2340"/>
          </w:tcPr>
          <w:p>
            <w:pPr>
              <w:keepLines w:val="1"/>
              <w:keepNext w:val="1"/>
            </w:pPr>
            <w:r>
              <w:t>Directo</w:t>
            </w:r>
          </w:p>
        </w:tc>
        <w:tc>
          <w:tcPr>
            <w:tcW w:type="dxa" w:w="2340"/>
          </w:tcPr>
          <w:p>
            <w:pPr>
              <w:keepLines w:val="1"/>
              <w:keepNext w:val="1"/>
            </w:pPr>
            <w:r>
              <w:t>La política criptográfica debe excluir algoritmos débiles</w:t>
            </w:r>
          </w:p>
        </w:tc>
      </w:tr>
      <w:tr>
        <w:trPr>
          <w:cantSplit w:val="1"/>
        </w:trPr>
        <w:tc>
          <w:tcPr>
            <w:tcW w:type="dxa" w:w="2340"/>
          </w:tcPr>
          <w:p>
            <w:pPr>
              <w:keepLines w:val="1"/>
              <w:keepNext w:val="1"/>
            </w:pPr>
            <w:r>
              <w:t>NIST PQC</w:t>
            </w:r>
          </w:p>
        </w:tc>
        <w:tc>
          <w:tcPr>
            <w:tcW w:type="dxa" w:w="2340"/>
          </w:tcPr>
          <w:p>
            <w:pPr>
              <w:keepLines w:val="1"/>
              <w:keepNext w:val="1"/>
            </w:pPr>
            <w:r>
              <w:t>Migración a FIPS 203/204/205</w:t>
            </w:r>
          </w:p>
        </w:tc>
        <w:tc>
          <w:tcPr>
            <w:tcW w:type="dxa" w:w="2340"/>
          </w:tcPr>
          <w:p>
            <w:pPr>
              <w:keepLines w:val="1"/>
              <w:keepNext w:val="1"/>
            </w:pPr>
            <w:r>
              <w:t>Prospectivo</w:t>
            </w:r>
          </w:p>
        </w:tc>
        <w:tc>
          <w:tcPr>
            <w:tcW w:type="dxa" w:w="2340"/>
          </w:tcPr>
          <w:p>
            <w:pPr>
              <w:keepLines w:val="1"/>
              <w:keepNext w:val="1"/>
            </w:pPr>
            <w:r>
              <w:t>Certificados RSA/ECC son los candidatos a migración PQC</w:t>
            </w:r>
          </w:p>
        </w:tc>
      </w:tr>
      <w:tr>
        <w:trPr>
          <w:cantSplit w:val="1"/>
        </w:trPr>
        <w:tc>
          <w:tcPr>
            <w:tcW w:type="dxa" w:w="2340"/>
          </w:tcPr>
          <w:p>
            <w:pPr>
              <w:keepLines w:val="1"/>
            </w:pPr>
            <w:r>
              <w:t>ENC</w:t>
            </w:r>
          </w:p>
        </w:tc>
        <w:tc>
          <w:tcPr>
            <w:tcW w:type="dxa" w:w="2340"/>
          </w:tcPr>
          <w:p>
            <w:pPr>
              <w:keepLines w:val="1"/>
            </w:pPr>
            <w:r>
              <w:t>Eje 5 — Fortalecimiento de capacidades técnicas</w:t>
            </w:r>
          </w:p>
        </w:tc>
        <w:tc>
          <w:tcPr>
            <w:tcW w:type="dxa" w:w="2340"/>
          </w:tcPr>
          <w:p>
            <w:pPr>
              <w:keepLines w:val="1"/>
            </w:pPr>
            <w:r>
              <w:t>Directo</w:t>
            </w:r>
          </w:p>
        </w:tc>
        <w:tc>
          <w:tcPr>
            <w:tcW w:type="dxa" w:w="2340"/>
          </w:tcPr>
          <w:p>
            <w:pPr>
              <w:keepLines w:val="1"/>
            </w:pPr>
            <w:r>
              <w:t>La preparación criptográfica es una capacidad técnica estratégica</w:t>
            </w:r>
          </w:p>
        </w:tc>
      </w:tr>
    </w:tbl>
    <w:p/>
    <w:p>
      <w:r>
        <w:rPr>
          <w:b/>
        </w:rPr>
        <w:t>Goal GQM asociado:</w:t>
      </w:r>
      <w:r>
        <w:t xml:space="preserve"> G-NET-1</w:t>
      </w:r>
      <w:r/>
      <w:r>
        <w:br/>
      </w:r>
      <w:r>
        <w:rPr>
          <w:b/>
        </w:rPr>
        <w:t>Score PRAGMATIC:</w:t>
      </w:r>
      <w:r>
        <w:t xml:space="preserve"> 4,8 / 5,0</w:t>
      </w:r>
    </w:p>
    <w:p>
      <w:pPr>
        <w:pStyle w:val="Heading2"/>
        <w:keepNext/>
        <w:keepLines/>
      </w:pPr>
      <w:r>
        <w:rPr>
          <w:color w:val="0066CC"/>
        </w:rPr>
        <w:t>DOMINIO HARDWARE — Métricas M-HW</w:t>
      </w:r>
    </w:p>
    <w:p>
      <w:pPr>
        <w:pStyle w:val="Heading3"/>
        <w:keepNext/>
        <w:keepLines/>
      </w:pPr>
      <w:r>
        <w:t>M-HW-1.1 — Cobertura de firmware verificado en dispositivos críticos</w:t>
      </w:r>
    </w:p>
    <w:tbl>
      <w:tblPr>
        <w:tblStyle w:val="LightGrid-Accent1"/>
        <w:tblW w:type="auto" w:w="0"/>
        <w:tblLook w:firstColumn="1" w:firstRow="1" w:lastColumn="0" w:lastRow="0" w:noHBand="0" w:noVBand="1" w:val="04A0"/>
      </w:tblPr>
      <w:tblGrid>
        <w:gridCol w:w="2340"/>
        <w:gridCol w:w="2340"/>
        <w:gridCol w:w="2340"/>
        <w:gridCol w:w="2340"/>
      </w:tblGrid>
      <w:tr>
        <w:trPr>
          <w:cantSplit w:val="1"/>
        </w:trPr>
        <w:tc>
          <w:tcPr>
            <w:tcW w:type="dxa" w:w="2340"/>
            <w:shd w:fill="0033CC"/>
          </w:tcPr>
          <w:p>
            <w:pPr>
              <w:keepLines w:val="1"/>
              <w:keepNext w:val="1"/>
            </w:pPr>
            <w:r>
              <w:rPr>
                <w:b/>
                <w:color w:val="FFFFFF"/>
              </w:rPr>
              <w:t>Marco</w:t>
            </w:r>
          </w:p>
        </w:tc>
        <w:tc>
          <w:tcPr>
            <w:tcW w:type="dxa" w:w="2340"/>
            <w:shd w:fill="0033CC"/>
          </w:tcPr>
          <w:p>
            <w:pPr>
              <w:keepLines w:val="1"/>
              <w:keepNext w:val="1"/>
            </w:pPr>
            <w:r>
              <w:rPr>
                <w:b/>
                <w:color w:val="FFFFFF"/>
              </w:rPr>
              <w:t>Artículo / Control</w:t>
            </w:r>
          </w:p>
        </w:tc>
        <w:tc>
          <w:tcPr>
            <w:tcW w:type="dxa" w:w="2340"/>
            <w:shd w:fill="0033CC"/>
          </w:tcPr>
          <w:p>
            <w:pPr>
              <w:keepLines w:val="1"/>
              <w:keepNext w:val="1"/>
            </w:pPr>
            <w:r>
              <w:rPr>
                <w:b/>
                <w:color w:val="FFFFFF"/>
              </w:rPr>
              <w:t>Tipo de mapeo</w:t>
            </w:r>
          </w:p>
        </w:tc>
        <w:tc>
          <w:tcPr>
            <w:tcW w:type="dxa" w:w="2340"/>
            <w:shd w:fill="0033CC"/>
          </w:tcPr>
          <w:p>
            <w:pPr>
              <w:keepLines w:val="1"/>
              <w:keepNext w:val="1"/>
            </w:pPr>
            <w:r>
              <w:rPr>
                <w:b/>
                <w:color w:val="FFFFFF"/>
              </w:rPr>
              <w:t>Evidencia requerida</w:t>
            </w:r>
          </w:p>
        </w:tc>
      </w:tr>
      <w:tr>
        <w:trPr>
          <w:cantSplit w:val="1"/>
        </w:trPr>
        <w:tc>
          <w:tcPr>
            <w:tcW w:type="dxa" w:w="2340"/>
          </w:tcPr>
          <w:p>
            <w:pPr>
              <w:keepLines w:val="1"/>
              <w:keepNext w:val="1"/>
            </w:pPr>
            <w:r>
              <w:t>NIS2</w:t>
            </w:r>
          </w:p>
        </w:tc>
        <w:tc>
          <w:tcPr>
            <w:tcW w:type="dxa" w:w="2340"/>
          </w:tcPr>
          <w:p>
            <w:pPr>
              <w:keepLines w:val="1"/>
              <w:keepNext w:val="1"/>
            </w:pPr>
            <w:r>
              <w:t>Art. 21.2.a — Gestión de riesgos incluyendo activos físicos</w:t>
            </w:r>
          </w:p>
        </w:tc>
        <w:tc>
          <w:tcPr>
            <w:tcW w:type="dxa" w:w="2340"/>
          </w:tcPr>
          <w:p>
            <w:pPr>
              <w:keepLines w:val="1"/>
              <w:keepNext w:val="1"/>
            </w:pPr>
            <w:r>
              <w:t>Complementario</w:t>
            </w:r>
          </w:p>
        </w:tc>
        <w:tc>
          <w:tcPr>
            <w:tcW w:type="dxa" w:w="2340"/>
          </w:tcPr>
          <w:p>
            <w:pPr>
              <w:keepLines w:val="1"/>
              <w:keepNext w:val="1"/>
            </w:pPr>
            <w:r>
              <w:t>El firmware de dispositivos físicos es parte del inventario de activos</w:t>
            </w:r>
          </w:p>
        </w:tc>
      </w:tr>
      <w:tr>
        <w:trPr>
          <w:cantSplit w:val="1"/>
        </w:trPr>
        <w:tc>
          <w:tcPr>
            <w:tcW w:type="dxa" w:w="2340"/>
          </w:tcPr>
          <w:p>
            <w:pPr>
              <w:keepLines w:val="1"/>
              <w:keepNext w:val="1"/>
            </w:pPr>
            <w:r>
              <w:t>NIS2</w:t>
            </w:r>
          </w:p>
        </w:tc>
        <w:tc>
          <w:tcPr>
            <w:tcW w:type="dxa" w:w="2340"/>
          </w:tcPr>
          <w:p>
            <w:pPr>
              <w:keepLines w:val="1"/>
              <w:keepNext w:val="1"/>
            </w:pPr>
            <w:r>
              <w:t>Art. 21.2.e — Seguridad en adquisición y mantenimiento</w:t>
            </w:r>
          </w:p>
        </w:tc>
        <w:tc>
          <w:tcPr>
            <w:tcW w:type="dxa" w:w="2340"/>
          </w:tcPr>
          <w:p>
            <w:pPr>
              <w:keepLines w:val="1"/>
              <w:keepNext w:val="1"/>
            </w:pPr>
            <w:r>
              <w:t>Directo</w:t>
            </w:r>
          </w:p>
        </w:tc>
        <w:tc>
          <w:tcPr>
            <w:tcW w:type="dxa" w:w="2340"/>
          </w:tcPr>
          <w:p>
            <w:pPr>
              <w:keepLines w:val="1"/>
              <w:keepNext w:val="1"/>
            </w:pPr>
            <w:r>
              <w:t>El firmware como componente del ciclo de vida del hardware</w:t>
            </w:r>
          </w:p>
        </w:tc>
      </w:tr>
      <w:tr>
        <w:trPr>
          <w:cantSplit w:val="1"/>
        </w:trPr>
        <w:tc>
          <w:tcPr>
            <w:tcW w:type="dxa" w:w="2340"/>
          </w:tcPr>
          <w:p>
            <w:pPr>
              <w:keepLines w:val="1"/>
              <w:keepNext w:val="1"/>
            </w:pPr>
            <w:r>
              <w:t>ENS</w:t>
            </w:r>
          </w:p>
        </w:tc>
        <w:tc>
          <w:tcPr>
            <w:tcW w:type="dxa" w:w="2340"/>
          </w:tcPr>
          <w:p>
            <w:pPr>
              <w:keepLines w:val="1"/>
              <w:keepNext w:val="1"/>
            </w:pPr>
            <w:r>
              <w:t>M.op.pl.1 — Análisis de riesgos (activos hardware)</w:t>
            </w:r>
          </w:p>
        </w:tc>
        <w:tc>
          <w:tcPr>
            <w:tcW w:type="dxa" w:w="2340"/>
          </w:tcPr>
          <w:p>
            <w:pPr>
              <w:keepLines w:val="1"/>
              <w:keepNext w:val="1"/>
            </w:pPr>
            <w:r>
              <w:t>Complementario</w:t>
            </w:r>
          </w:p>
        </w:tc>
        <w:tc>
          <w:tcPr>
            <w:tcW w:type="dxa" w:w="2340"/>
          </w:tcPr>
          <w:p>
            <w:pPr>
              <w:keepLines w:val="1"/>
              <w:keepNext w:val="1"/>
            </w:pPr>
            <w:r>
              <w:t>Los activos hardware incluyen su firmware como componente de riesgo</w:t>
            </w:r>
          </w:p>
        </w:tc>
      </w:tr>
      <w:tr>
        <w:trPr>
          <w:cantSplit w:val="1"/>
        </w:trPr>
        <w:tc>
          <w:tcPr>
            <w:tcW w:type="dxa" w:w="2340"/>
          </w:tcPr>
          <w:p>
            <w:pPr>
              <w:keepLines w:val="1"/>
              <w:keepNext w:val="1"/>
            </w:pPr>
            <w:r>
              <w:t>ENS</w:t>
            </w:r>
          </w:p>
        </w:tc>
        <w:tc>
          <w:tcPr>
            <w:tcW w:type="dxa" w:w="2340"/>
          </w:tcPr>
          <w:p>
            <w:pPr>
              <w:keepLines w:val="1"/>
              <w:keepNext w:val="1"/>
            </w:pPr>
            <w:r>
              <w:t>M.mp.hw.1 — Protección de los equipos</w:t>
            </w:r>
          </w:p>
        </w:tc>
        <w:tc>
          <w:tcPr>
            <w:tcW w:type="dxa" w:w="2340"/>
          </w:tcPr>
          <w:p>
            <w:pPr>
              <w:keepLines w:val="1"/>
              <w:keepNext w:val="1"/>
            </w:pPr>
            <w:r>
              <w:t>Directo</w:t>
            </w:r>
          </w:p>
        </w:tc>
        <w:tc>
          <w:tcPr>
            <w:tcW w:type="dxa" w:w="2340"/>
          </w:tcPr>
          <w:p>
            <w:pPr>
              <w:keepLines w:val="1"/>
              <w:keepNext w:val="1"/>
            </w:pPr>
            <w:r>
              <w:t>ENS exige proteger los equipos; la verificación de firmware es parte de esa protección</w:t>
            </w:r>
          </w:p>
        </w:tc>
      </w:tr>
      <w:tr>
        <w:trPr>
          <w:cantSplit w:val="1"/>
        </w:trPr>
        <w:tc>
          <w:tcPr>
            <w:tcW w:type="dxa" w:w="2340"/>
          </w:tcPr>
          <w:p>
            <w:pPr>
              <w:keepLines w:val="1"/>
              <w:keepNext w:val="1"/>
            </w:pPr>
            <w:r>
              <w:t>ISO 27001</w:t>
            </w:r>
          </w:p>
        </w:tc>
        <w:tc>
          <w:tcPr>
            <w:tcW w:type="dxa" w:w="2340"/>
          </w:tcPr>
          <w:p>
            <w:pPr>
              <w:keepLines w:val="1"/>
              <w:keepNext w:val="1"/>
            </w:pPr>
            <w:r>
              <w:t>A.8.1 — Endpoint device security</w:t>
            </w:r>
          </w:p>
        </w:tc>
        <w:tc>
          <w:tcPr>
            <w:tcW w:type="dxa" w:w="2340"/>
          </w:tcPr>
          <w:p>
            <w:pPr>
              <w:keepLines w:val="1"/>
              <w:keepNext w:val="1"/>
            </w:pPr>
            <w:r>
              <w:t>Directo</w:t>
            </w:r>
          </w:p>
        </w:tc>
        <w:tc>
          <w:tcPr>
            <w:tcW w:type="dxa" w:w="2340"/>
          </w:tcPr>
          <w:p>
            <w:pPr>
              <w:keepLines w:val="1"/>
              <w:keepNext w:val="1"/>
            </w:pPr>
            <w:r>
              <w:t>Seguridad de dispositivos finales incluye integridad del firmware</w:t>
            </w:r>
          </w:p>
        </w:tc>
      </w:tr>
      <w:tr>
        <w:trPr>
          <w:cantSplit w:val="1"/>
        </w:trPr>
        <w:tc>
          <w:tcPr>
            <w:tcW w:type="dxa" w:w="2340"/>
          </w:tcPr>
          <w:p>
            <w:pPr>
              <w:keepLines w:val="1"/>
              <w:keepNext w:val="1"/>
            </w:pPr>
            <w:r>
              <w:t>NIST SP 800-193</w:t>
            </w:r>
          </w:p>
        </w:tc>
        <w:tc>
          <w:tcPr>
            <w:tcW w:type="dxa" w:w="2340"/>
          </w:tcPr>
          <w:p>
            <w:pPr>
              <w:keepLines w:val="1"/>
              <w:keepNext w:val="1"/>
            </w:pPr>
            <w:r>
              <w:t>Platform Firmware Resiliency Guidelines</w:t>
            </w:r>
          </w:p>
        </w:tc>
        <w:tc>
          <w:tcPr>
            <w:tcW w:type="dxa" w:w="2340"/>
          </w:tcPr>
          <w:p>
            <w:pPr>
              <w:keepLines w:val="1"/>
              <w:keepNext w:val="1"/>
            </w:pPr>
            <w:r>
              <w:t>Metodológico</w:t>
            </w:r>
          </w:p>
        </w:tc>
        <w:tc>
          <w:tcPr>
            <w:tcW w:type="dxa" w:w="2340"/>
          </w:tcPr>
          <w:p>
            <w:pPr>
              <w:keepLines w:val="1"/>
              <w:keepNext w:val="1"/>
            </w:pPr>
            <w:r>
              <w:t>Guía NIST para resiliencia del firmware de plataformas</w:t>
            </w:r>
          </w:p>
        </w:tc>
      </w:tr>
      <w:tr>
        <w:trPr>
          <w:cantSplit w:val="1"/>
        </w:trPr>
        <w:tc>
          <w:tcPr>
            <w:tcW w:type="dxa" w:w="2340"/>
          </w:tcPr>
          <w:p>
            <w:pPr>
              <w:keepLines w:val="1"/>
            </w:pPr>
            <w:r>
              <w:t>IEC 62443</w:t>
            </w:r>
          </w:p>
        </w:tc>
        <w:tc>
          <w:tcPr>
            <w:tcW w:type="dxa" w:w="2340"/>
          </w:tcPr>
          <w:p>
            <w:pPr>
              <w:keepLines w:val="1"/>
            </w:pPr>
            <w:r>
              <w:t>SR 3.4 — Software and information integrity</w:t>
            </w:r>
          </w:p>
        </w:tc>
        <w:tc>
          <w:tcPr>
            <w:tcW w:type="dxa" w:w="2340"/>
          </w:tcPr>
          <w:p>
            <w:pPr>
              <w:keepLines w:val="1"/>
            </w:pPr>
            <w:r>
              <w:t>Complementario</w:t>
            </w:r>
          </w:p>
        </w:tc>
        <w:tc>
          <w:tcPr>
            <w:tcW w:type="dxa" w:w="2340"/>
          </w:tcPr>
          <w:p>
            <w:pPr>
              <w:keepLines w:val="1"/>
            </w:pPr>
            <w:r>
              <w:t>En entornos OT, la integridad del firmware es crítica</w:t>
            </w:r>
          </w:p>
        </w:tc>
      </w:tr>
    </w:tbl>
    <w:p/>
    <w:p>
      <w:r>
        <w:rPr>
          <w:b/>
        </w:rPr>
        <w:t>Goal GQM asociado:</w:t>
      </w:r>
      <w:r>
        <w:t xml:space="preserve"> G-HW-1</w:t>
      </w:r>
      <w:r/>
      <w:r>
        <w:br/>
      </w:r>
      <w:r>
        <w:rPr>
          <w:b/>
        </w:rPr>
        <w:t>Score PRAGMATIC:</w:t>
      </w:r>
      <w:r>
        <w:t xml:space="preserve"> 3,3 / 5,0</w:t>
      </w:r>
    </w:p>
    <w:p>
      <w:pPr>
        <w:pStyle w:val="Heading2"/>
        <w:keepNext/>
        <w:keepLines/>
      </w:pPr>
      <w:r>
        <w:rPr>
          <w:color w:val="0066CC"/>
        </w:rPr>
        <w:t>DOMINIO ICS/OT — Métricas M-OT</w:t>
      </w:r>
    </w:p>
    <w:p>
      <w:pPr>
        <w:pStyle w:val="Heading3"/>
        <w:keepNext/>
        <w:keepLines/>
      </w:pPr>
      <w:r>
        <w:t>M-OT-1.1 — Cobertura de segmentación de activos OT/ICS críticos</w:t>
      </w:r>
    </w:p>
    <w:tbl>
      <w:tblPr>
        <w:tblStyle w:val="LightGrid-Accent1"/>
        <w:tblW w:type="auto" w:w="0"/>
        <w:tblLook w:firstColumn="1" w:firstRow="1" w:lastColumn="0" w:lastRow="0" w:noHBand="0" w:noVBand="1" w:val="04A0"/>
      </w:tblPr>
      <w:tblGrid>
        <w:gridCol w:w="2340"/>
        <w:gridCol w:w="2340"/>
        <w:gridCol w:w="2340"/>
        <w:gridCol w:w="2340"/>
      </w:tblGrid>
      <w:tr>
        <w:trPr>
          <w:cantSplit w:val="1"/>
        </w:trPr>
        <w:tc>
          <w:tcPr>
            <w:tcW w:type="dxa" w:w="2340"/>
            <w:shd w:fill="0033CC"/>
          </w:tcPr>
          <w:p>
            <w:pPr>
              <w:keepLines w:val="1"/>
              <w:keepNext w:val="1"/>
            </w:pPr>
            <w:r>
              <w:rPr>
                <w:b/>
                <w:color w:val="FFFFFF"/>
              </w:rPr>
              <w:t>Marco</w:t>
            </w:r>
          </w:p>
        </w:tc>
        <w:tc>
          <w:tcPr>
            <w:tcW w:type="dxa" w:w="2340"/>
            <w:shd w:fill="0033CC"/>
          </w:tcPr>
          <w:p>
            <w:pPr>
              <w:keepLines w:val="1"/>
              <w:keepNext w:val="1"/>
            </w:pPr>
            <w:r>
              <w:rPr>
                <w:b/>
                <w:color w:val="FFFFFF"/>
              </w:rPr>
              <w:t>Artículo / Control</w:t>
            </w:r>
          </w:p>
        </w:tc>
        <w:tc>
          <w:tcPr>
            <w:tcW w:type="dxa" w:w="2340"/>
            <w:shd w:fill="0033CC"/>
          </w:tcPr>
          <w:p>
            <w:pPr>
              <w:keepLines w:val="1"/>
              <w:keepNext w:val="1"/>
            </w:pPr>
            <w:r>
              <w:rPr>
                <w:b/>
                <w:color w:val="FFFFFF"/>
              </w:rPr>
              <w:t>Tipo de mapeo</w:t>
            </w:r>
          </w:p>
        </w:tc>
        <w:tc>
          <w:tcPr>
            <w:tcW w:type="dxa" w:w="2340"/>
            <w:shd w:fill="0033CC"/>
          </w:tcPr>
          <w:p>
            <w:pPr>
              <w:keepLines w:val="1"/>
              <w:keepNext w:val="1"/>
            </w:pPr>
            <w:r>
              <w:rPr>
                <w:b/>
                <w:color w:val="FFFFFF"/>
              </w:rPr>
              <w:t>Evidencia requerida</w:t>
            </w:r>
          </w:p>
        </w:tc>
      </w:tr>
      <w:tr>
        <w:trPr>
          <w:cantSplit w:val="1"/>
        </w:trPr>
        <w:tc>
          <w:tcPr>
            <w:tcW w:type="dxa" w:w="2340"/>
          </w:tcPr>
          <w:p>
            <w:pPr>
              <w:keepLines w:val="1"/>
              <w:keepNext w:val="1"/>
            </w:pPr>
            <w:r>
              <w:t>NIS2</w:t>
            </w:r>
          </w:p>
        </w:tc>
        <w:tc>
          <w:tcPr>
            <w:tcW w:type="dxa" w:w="2340"/>
          </w:tcPr>
          <w:p>
            <w:pPr>
              <w:keepLines w:val="1"/>
              <w:keepNext w:val="1"/>
            </w:pPr>
            <w:r>
              <w:t>Art. 21.2.a — Gestión de riesgos en infraestructuras críticas</w:t>
            </w:r>
          </w:p>
        </w:tc>
        <w:tc>
          <w:tcPr>
            <w:tcW w:type="dxa" w:w="2340"/>
          </w:tcPr>
          <w:p>
            <w:pPr>
              <w:keepLines w:val="1"/>
              <w:keepNext w:val="1"/>
            </w:pPr>
            <w:r>
              <w:t>Directo</w:t>
            </w:r>
          </w:p>
        </w:tc>
        <w:tc>
          <w:tcPr>
            <w:tcW w:type="dxa" w:w="2340"/>
          </w:tcPr>
          <w:p>
            <w:pPr>
              <w:keepLines w:val="1"/>
              <w:keepNext w:val="1"/>
            </w:pPr>
            <w:r>
              <w:t>Para operadores críticos, la segmentación IT/OT es control fundamental</w:t>
            </w:r>
          </w:p>
        </w:tc>
      </w:tr>
      <w:tr>
        <w:trPr>
          <w:cantSplit w:val="1"/>
        </w:trPr>
        <w:tc>
          <w:tcPr>
            <w:tcW w:type="dxa" w:w="2340"/>
          </w:tcPr>
          <w:p>
            <w:pPr>
              <w:keepLines w:val="1"/>
              <w:keepNext w:val="1"/>
            </w:pPr>
            <w:r>
              <w:t>NIS2</w:t>
            </w:r>
          </w:p>
        </w:tc>
        <w:tc>
          <w:tcPr>
            <w:tcW w:type="dxa" w:w="2340"/>
          </w:tcPr>
          <w:p>
            <w:pPr>
              <w:keepLines w:val="1"/>
              <w:keepNext w:val="1"/>
            </w:pPr>
            <w:r>
              <w:t>Anexo I — Operadores esenciales: energía, agua, transporte</w:t>
            </w:r>
          </w:p>
        </w:tc>
        <w:tc>
          <w:tcPr>
            <w:tcW w:type="dxa" w:w="2340"/>
          </w:tcPr>
          <w:p>
            <w:pPr>
              <w:keepLines w:val="1"/>
              <w:keepNext w:val="1"/>
            </w:pPr>
            <w:r>
              <w:t>Directo</w:t>
            </w:r>
          </w:p>
        </w:tc>
        <w:tc>
          <w:tcPr>
            <w:tcW w:type="dxa" w:w="2340"/>
          </w:tcPr>
          <w:p>
            <w:pPr>
              <w:keepLines w:val="1"/>
              <w:keepNext w:val="1"/>
            </w:pPr>
            <w:r>
              <w:t>Los operadores de Anexo I tienen los activos OT de mayor riesgo</w:t>
            </w:r>
          </w:p>
        </w:tc>
      </w:tr>
      <w:tr>
        <w:trPr>
          <w:cantSplit w:val="1"/>
        </w:trPr>
        <w:tc>
          <w:tcPr>
            <w:tcW w:type="dxa" w:w="2340"/>
          </w:tcPr>
          <w:p>
            <w:pPr>
              <w:keepLines w:val="1"/>
              <w:keepNext w:val="1"/>
            </w:pPr>
            <w:r>
              <w:t>ENS</w:t>
            </w:r>
          </w:p>
        </w:tc>
        <w:tc>
          <w:tcPr>
            <w:tcW w:type="dxa" w:w="2340"/>
          </w:tcPr>
          <w:p>
            <w:pPr>
              <w:keepLines w:val="1"/>
              <w:keepNext w:val="1"/>
            </w:pPr>
            <w:r>
              <w:t>M.mp.com.4 — Segregación de redes</w:t>
            </w:r>
          </w:p>
        </w:tc>
        <w:tc>
          <w:tcPr>
            <w:tcW w:type="dxa" w:w="2340"/>
          </w:tcPr>
          <w:p>
            <w:pPr>
              <w:keepLines w:val="1"/>
              <w:keepNext w:val="1"/>
            </w:pPr>
            <w:r>
              <w:t>Directo</w:t>
            </w:r>
          </w:p>
        </w:tc>
        <w:tc>
          <w:tcPr>
            <w:tcW w:type="dxa" w:w="2340"/>
          </w:tcPr>
          <w:p>
            <w:pPr>
              <w:keepLines w:val="1"/>
              <w:keepNext w:val="1"/>
            </w:pPr>
            <w:r>
              <w:t>ENS Nivel Alto exige segregación de redes; la métrica verifica el cumplimiento</w:t>
            </w:r>
          </w:p>
        </w:tc>
      </w:tr>
      <w:tr>
        <w:trPr>
          <w:cantSplit w:val="1"/>
        </w:trPr>
        <w:tc>
          <w:tcPr>
            <w:tcW w:type="dxa" w:w="2340"/>
          </w:tcPr>
          <w:p>
            <w:pPr>
              <w:keepLines w:val="1"/>
              <w:keepNext w:val="1"/>
            </w:pPr>
            <w:r>
              <w:t>ENS</w:t>
            </w:r>
          </w:p>
        </w:tc>
        <w:tc>
          <w:tcPr>
            <w:tcW w:type="dxa" w:w="2340"/>
          </w:tcPr>
          <w:p>
            <w:pPr>
              <w:keepLines w:val="1"/>
              <w:keepNext w:val="1"/>
            </w:pPr>
            <w:r>
              <w:t>Categoría ALTA — Sistemas de control industrial</w:t>
            </w:r>
          </w:p>
        </w:tc>
        <w:tc>
          <w:tcPr>
            <w:tcW w:type="dxa" w:w="2340"/>
          </w:tcPr>
          <w:p>
            <w:pPr>
              <w:keepLines w:val="1"/>
              <w:keepNext w:val="1"/>
            </w:pPr>
            <w:r>
              <w:t>Directo</w:t>
            </w:r>
          </w:p>
        </w:tc>
        <w:tc>
          <w:tcPr>
            <w:tcW w:type="dxa" w:w="2340"/>
          </w:tcPr>
          <w:p>
            <w:pPr>
              <w:keepLines w:val="1"/>
              <w:keepNext w:val="1"/>
            </w:pPr>
            <w:r>
              <w:t>Los sistemas OT de infraestructuras críticas son de categoría ENS Alta</w:t>
            </w:r>
          </w:p>
        </w:tc>
      </w:tr>
      <w:tr>
        <w:trPr>
          <w:cantSplit w:val="1"/>
        </w:trPr>
        <w:tc>
          <w:tcPr>
            <w:tcW w:type="dxa" w:w="2340"/>
          </w:tcPr>
          <w:p>
            <w:pPr>
              <w:keepLines w:val="1"/>
              <w:keepNext w:val="1"/>
            </w:pPr>
            <w:r>
              <w:t>DORA</w:t>
            </w:r>
          </w:p>
        </w:tc>
        <w:tc>
          <w:tcPr>
            <w:tcW w:type="dxa" w:w="2340"/>
          </w:tcPr>
          <w:p>
            <w:pPr>
              <w:keepLines w:val="1"/>
              <w:keepNext w:val="1"/>
            </w:pPr>
            <w:r>
              <w:t>Art. 9 — Resiliencia de sistemas TIC (extensible a OT convergente)</w:t>
            </w:r>
          </w:p>
        </w:tc>
        <w:tc>
          <w:tcPr>
            <w:tcW w:type="dxa" w:w="2340"/>
          </w:tcPr>
          <w:p>
            <w:pPr>
              <w:keepLines w:val="1"/>
              <w:keepNext w:val="1"/>
            </w:pPr>
            <w:r>
              <w:t>Complementario</w:t>
            </w:r>
          </w:p>
        </w:tc>
        <w:tc>
          <w:tcPr>
            <w:tcW w:type="dxa" w:w="2340"/>
          </w:tcPr>
          <w:p>
            <w:pPr>
              <w:keepLines w:val="1"/>
              <w:keepNext w:val="1"/>
            </w:pPr>
            <w:r>
              <w:t>Para entidades financieras con OT, aplica el principio de resiliencia DORA</w:t>
            </w:r>
          </w:p>
        </w:tc>
      </w:tr>
      <w:tr>
        <w:trPr>
          <w:cantSplit w:val="1"/>
        </w:trPr>
        <w:tc>
          <w:tcPr>
            <w:tcW w:type="dxa" w:w="2340"/>
          </w:tcPr>
          <w:p>
            <w:pPr>
              <w:keepLines w:val="1"/>
              <w:keepNext w:val="1"/>
            </w:pPr>
            <w:r>
              <w:t>IEC 62443</w:t>
            </w:r>
          </w:p>
        </w:tc>
        <w:tc>
          <w:tcPr>
            <w:tcW w:type="dxa" w:w="2340"/>
          </w:tcPr>
          <w:p>
            <w:pPr>
              <w:keepLines w:val="1"/>
              <w:keepNext w:val="1"/>
            </w:pPr>
            <w:r>
              <w:t>SR 5.1 — Network segmentation</w:t>
            </w:r>
          </w:p>
        </w:tc>
        <w:tc>
          <w:tcPr>
            <w:tcW w:type="dxa" w:w="2340"/>
          </w:tcPr>
          <w:p>
            <w:pPr>
              <w:keepLines w:val="1"/>
              <w:keepNext w:val="1"/>
            </w:pPr>
            <w:r>
              <w:t>Directo</w:t>
            </w:r>
          </w:p>
        </w:tc>
        <w:tc>
          <w:tcPr>
            <w:tcW w:type="dxa" w:w="2340"/>
          </w:tcPr>
          <w:p>
            <w:pPr>
              <w:keepLines w:val="1"/>
              <w:keepNext w:val="1"/>
            </w:pPr>
            <w:r>
              <w:t>IEC 62443 define la segmentación por zonas como control fundamental de seguridad OT</w:t>
            </w:r>
          </w:p>
        </w:tc>
      </w:tr>
      <w:tr>
        <w:trPr>
          <w:cantSplit w:val="1"/>
        </w:trPr>
        <w:tc>
          <w:tcPr>
            <w:tcW w:type="dxa" w:w="2340"/>
          </w:tcPr>
          <w:p>
            <w:pPr>
              <w:keepLines w:val="1"/>
              <w:keepNext w:val="1"/>
            </w:pPr>
            <w:r>
              <w:t>IEC 62443</w:t>
            </w:r>
          </w:p>
        </w:tc>
        <w:tc>
          <w:tcPr>
            <w:tcW w:type="dxa" w:w="2340"/>
          </w:tcPr>
          <w:p>
            <w:pPr>
              <w:keepLines w:val="1"/>
              <w:keepNext w:val="1"/>
            </w:pPr>
            <w:r>
              <w:t>Modelo Purdue / ISA-95</w:t>
            </w:r>
          </w:p>
        </w:tc>
        <w:tc>
          <w:tcPr>
            <w:tcW w:type="dxa" w:w="2340"/>
          </w:tcPr>
          <w:p>
            <w:pPr>
              <w:keepLines w:val="1"/>
              <w:keepNext w:val="1"/>
            </w:pPr>
            <w:r>
              <w:t>Metodológico</w:t>
            </w:r>
          </w:p>
        </w:tc>
        <w:tc>
          <w:tcPr>
            <w:tcW w:type="dxa" w:w="2340"/>
          </w:tcPr>
          <w:p>
            <w:pPr>
              <w:keepLines w:val="1"/>
              <w:keepNext w:val="1"/>
            </w:pPr>
            <w:r>
              <w:t>El modelo de referencia para evaluar la segmentación en entornos industriales</w:t>
            </w:r>
          </w:p>
        </w:tc>
      </w:tr>
      <w:tr>
        <w:trPr>
          <w:cantSplit w:val="1"/>
        </w:trPr>
        <w:tc>
          <w:tcPr>
            <w:tcW w:type="dxa" w:w="2340"/>
          </w:tcPr>
          <w:p>
            <w:pPr>
              <w:keepLines w:val="1"/>
            </w:pPr>
            <w:r>
              <w:t>NIST CSF 2.0</w:t>
            </w:r>
          </w:p>
        </w:tc>
        <w:tc>
          <w:tcPr>
            <w:tcW w:type="dxa" w:w="2340"/>
          </w:tcPr>
          <w:p>
            <w:pPr>
              <w:keepLines w:val="1"/>
            </w:pPr>
            <w:r>
              <w:t>PR.IR-4 — Network access controlled</w:t>
            </w:r>
          </w:p>
        </w:tc>
        <w:tc>
          <w:tcPr>
            <w:tcW w:type="dxa" w:w="2340"/>
          </w:tcPr>
          <w:p>
            <w:pPr>
              <w:keepLines w:val="1"/>
            </w:pPr>
            <w:r>
              <w:t>Directo</w:t>
            </w:r>
          </w:p>
        </w:tc>
        <w:tc>
          <w:tcPr>
            <w:tcW w:type="dxa" w:w="2340"/>
          </w:tcPr>
          <w:p>
            <w:pPr>
              <w:keepLines w:val="1"/>
            </w:pPr>
            <w:r>
              <w:t>Control de acceso a redes como función Protect del CSF</w:t>
            </w:r>
          </w:p>
        </w:tc>
      </w:tr>
    </w:tbl>
    <w:p/>
    <w:p>
      <w:r>
        <w:rPr>
          <w:b/>
        </w:rPr>
        <w:t>Goal GQM asociado:</w:t>
      </w:r>
      <w:r>
        <w:t xml:space="preserve"> G-OT-1</w:t>
      </w:r>
      <w:r/>
      <w:r>
        <w:br/>
      </w:r>
      <w:r>
        <w:rPr>
          <w:b/>
        </w:rPr>
        <w:t>Score PRAGMATIC:</w:t>
      </w:r>
      <w:r>
        <w:t xml:space="preserve"> 4,0 / 5,0</w:t>
      </w:r>
    </w:p>
    <w:p>
      <w:pPr>
        <w:pStyle w:val="Heading2"/>
        <w:keepNext/>
        <w:keepLines/>
      </w:pPr>
      <w:r>
        <w:rPr>
          <w:color w:val="0066CC"/>
        </w:rPr>
        <w:t>DOMINIO IA ADVERSARIAL — Métricas M-AI</w:t>
      </w:r>
    </w:p>
    <w:p>
      <w:pPr>
        <w:pStyle w:val="Heading3"/>
        <w:keepNext/>
        <w:keepLines/>
      </w:pPr>
      <w:r>
        <w:t>M-AI-1.1 — Cobertura de controles adversariales en modelos de IA en producción</w:t>
      </w:r>
    </w:p>
    <w:tbl>
      <w:tblPr>
        <w:tblStyle w:val="LightGrid-Accent1"/>
        <w:tblW w:type="auto" w:w="0"/>
        <w:tblLook w:firstColumn="1" w:firstRow="1" w:lastColumn="0" w:lastRow="0" w:noHBand="0" w:noVBand="1" w:val="04A0"/>
      </w:tblPr>
      <w:tblGrid>
        <w:gridCol w:w="2340"/>
        <w:gridCol w:w="2340"/>
        <w:gridCol w:w="2340"/>
        <w:gridCol w:w="2340"/>
      </w:tblGrid>
      <w:tr>
        <w:trPr>
          <w:cantSplit w:val="1"/>
        </w:trPr>
        <w:tc>
          <w:tcPr>
            <w:tcW w:type="dxa" w:w="2340"/>
            <w:shd w:fill="0033CC"/>
          </w:tcPr>
          <w:p>
            <w:pPr>
              <w:keepLines w:val="1"/>
              <w:keepNext w:val="1"/>
            </w:pPr>
            <w:r>
              <w:rPr>
                <w:b/>
                <w:color w:val="FFFFFF"/>
              </w:rPr>
              <w:t>Marco</w:t>
            </w:r>
          </w:p>
        </w:tc>
        <w:tc>
          <w:tcPr>
            <w:tcW w:type="dxa" w:w="2340"/>
            <w:shd w:fill="0033CC"/>
          </w:tcPr>
          <w:p>
            <w:pPr>
              <w:keepLines w:val="1"/>
              <w:keepNext w:val="1"/>
            </w:pPr>
            <w:r>
              <w:rPr>
                <w:b/>
                <w:color w:val="FFFFFF"/>
              </w:rPr>
              <w:t>Artículo / Control</w:t>
            </w:r>
          </w:p>
        </w:tc>
        <w:tc>
          <w:tcPr>
            <w:tcW w:type="dxa" w:w="2340"/>
            <w:shd w:fill="0033CC"/>
          </w:tcPr>
          <w:p>
            <w:pPr>
              <w:keepLines w:val="1"/>
              <w:keepNext w:val="1"/>
            </w:pPr>
            <w:r>
              <w:rPr>
                <w:b/>
                <w:color w:val="FFFFFF"/>
              </w:rPr>
              <w:t>Tipo de mapeo</w:t>
            </w:r>
          </w:p>
        </w:tc>
        <w:tc>
          <w:tcPr>
            <w:tcW w:type="dxa" w:w="2340"/>
            <w:shd w:fill="0033CC"/>
          </w:tcPr>
          <w:p>
            <w:pPr>
              <w:keepLines w:val="1"/>
              <w:keepNext w:val="1"/>
            </w:pPr>
            <w:r>
              <w:rPr>
                <w:b/>
                <w:color w:val="FFFFFF"/>
              </w:rPr>
              <w:t>Evidencia requerida</w:t>
            </w:r>
          </w:p>
        </w:tc>
      </w:tr>
      <w:tr>
        <w:trPr>
          <w:cantSplit w:val="1"/>
        </w:trPr>
        <w:tc>
          <w:tcPr>
            <w:tcW w:type="dxa" w:w="2340"/>
          </w:tcPr>
          <w:p>
            <w:pPr>
              <w:keepLines w:val="1"/>
              <w:keepNext w:val="1"/>
            </w:pPr>
            <w:r>
              <w:t>NIST AI 100-2e2025</w:t>
            </w:r>
          </w:p>
        </w:tc>
        <w:tc>
          <w:tcPr>
            <w:tcW w:type="dxa" w:w="2340"/>
          </w:tcPr>
          <w:p>
            <w:pPr>
              <w:keepLines w:val="1"/>
              <w:keepNext w:val="1"/>
            </w:pPr>
            <w:r>
              <w:t>Taxonomía completa de ataques adversariales</w:t>
            </w:r>
          </w:p>
        </w:tc>
        <w:tc>
          <w:tcPr>
            <w:tcW w:type="dxa" w:w="2340"/>
          </w:tcPr>
          <w:p>
            <w:pPr>
              <w:keepLines w:val="1"/>
              <w:keepNext w:val="1"/>
            </w:pPr>
            <w:r>
              <w:t>Directo</w:t>
            </w:r>
          </w:p>
        </w:tc>
        <w:tc>
          <w:tcPr>
            <w:tcW w:type="dxa" w:w="2340"/>
          </w:tcPr>
          <w:p>
            <w:pPr>
              <w:keepLines w:val="1"/>
              <w:keepNext w:val="1"/>
            </w:pPr>
            <w:r>
              <w:t>La métrica operacionaliza la taxonomía NIST AI de forma medible</w:t>
            </w:r>
          </w:p>
        </w:tc>
      </w:tr>
      <w:tr>
        <w:trPr>
          <w:cantSplit w:val="1"/>
        </w:trPr>
        <w:tc>
          <w:tcPr>
            <w:tcW w:type="dxa" w:w="2340"/>
          </w:tcPr>
          <w:p>
            <w:pPr>
              <w:keepLines w:val="1"/>
              <w:keepNext w:val="1"/>
            </w:pPr>
            <w:r>
              <w:t>ISO 42001</w:t>
            </w:r>
          </w:p>
        </w:tc>
        <w:tc>
          <w:tcPr>
            <w:tcW w:type="dxa" w:w="2340"/>
          </w:tcPr>
          <w:p>
            <w:pPr>
              <w:keepLines w:val="1"/>
              <w:keepNext w:val="1"/>
            </w:pPr>
            <w:r>
              <w:t>A.6.1 — AI system risk assessment</w:t>
            </w:r>
          </w:p>
        </w:tc>
        <w:tc>
          <w:tcPr>
            <w:tcW w:type="dxa" w:w="2340"/>
          </w:tcPr>
          <w:p>
            <w:pPr>
              <w:keepLines w:val="1"/>
              <w:keepNext w:val="1"/>
            </w:pPr>
            <w:r>
              <w:t>Directo</w:t>
            </w:r>
          </w:p>
        </w:tc>
        <w:tc>
          <w:tcPr>
            <w:tcW w:type="dxa" w:w="2340"/>
          </w:tcPr>
          <w:p>
            <w:pPr>
              <w:keepLines w:val="1"/>
              <w:keepNext w:val="1"/>
            </w:pPr>
            <w:r>
              <w:t>ISO 42001 exige evaluación de riesgos de sistemas de IA incluyendo ataques adversariales</w:t>
            </w:r>
          </w:p>
        </w:tc>
      </w:tr>
      <w:tr>
        <w:trPr>
          <w:cantSplit w:val="1"/>
        </w:trPr>
        <w:tc>
          <w:tcPr>
            <w:tcW w:type="dxa" w:w="2340"/>
          </w:tcPr>
          <w:p>
            <w:pPr>
              <w:keepLines w:val="1"/>
              <w:keepNext w:val="1"/>
            </w:pPr>
            <w:r>
              <w:t>ISO 42001</w:t>
            </w:r>
          </w:p>
        </w:tc>
        <w:tc>
          <w:tcPr>
            <w:tcW w:type="dxa" w:w="2340"/>
          </w:tcPr>
          <w:p>
            <w:pPr>
              <w:keepLines w:val="1"/>
              <w:keepNext w:val="1"/>
            </w:pPr>
            <w:r>
              <w:t>A.9 — AI incident management</w:t>
            </w:r>
          </w:p>
        </w:tc>
        <w:tc>
          <w:tcPr>
            <w:tcW w:type="dxa" w:w="2340"/>
          </w:tcPr>
          <w:p>
            <w:pPr>
              <w:keepLines w:val="1"/>
              <w:keepNext w:val="1"/>
            </w:pPr>
            <w:r>
              <w:t>Complementario</w:t>
            </w:r>
          </w:p>
        </w:tc>
        <w:tc>
          <w:tcPr>
            <w:tcW w:type="dxa" w:w="2340"/>
          </w:tcPr>
          <w:p>
            <w:pPr>
              <w:keepLines w:val="1"/>
              <w:keepNext w:val="1"/>
            </w:pPr>
            <w:r>
              <w:t>La gestión de incidentes IA requiere controles previos de detección</w:t>
            </w:r>
          </w:p>
        </w:tc>
      </w:tr>
      <w:tr>
        <w:trPr>
          <w:cantSplit w:val="1"/>
        </w:trPr>
        <w:tc>
          <w:tcPr>
            <w:tcW w:type="dxa" w:w="2340"/>
          </w:tcPr>
          <w:p>
            <w:pPr>
              <w:keepLines w:val="1"/>
              <w:keepNext w:val="1"/>
            </w:pPr>
            <w:r>
              <w:t>EU AI Act</w:t>
            </w:r>
          </w:p>
        </w:tc>
        <w:tc>
          <w:tcPr>
            <w:tcW w:type="dxa" w:w="2340"/>
          </w:tcPr>
          <w:p>
            <w:pPr>
              <w:keepLines w:val="1"/>
              <w:keepNext w:val="1"/>
            </w:pPr>
            <w:r>
              <w:t>Art. 9 — Risk management system (High-risk AI)</w:t>
            </w:r>
          </w:p>
        </w:tc>
        <w:tc>
          <w:tcPr>
            <w:tcW w:type="dxa" w:w="2340"/>
          </w:tcPr>
          <w:p>
            <w:pPr>
              <w:keepLines w:val="1"/>
              <w:keepNext w:val="1"/>
            </w:pPr>
            <w:r>
              <w:t>Prospectivo</w:t>
            </w:r>
          </w:p>
        </w:tc>
        <w:tc>
          <w:tcPr>
            <w:tcW w:type="dxa" w:w="2340"/>
          </w:tcPr>
          <w:p>
            <w:pPr>
              <w:keepLines w:val="1"/>
              <w:keepNext w:val="1"/>
            </w:pPr>
            <w:r>
              <w:t>El AI Act exige gestión de riesgos para IA de alto riesgo; esta métrica contribuye a evidenciarla</w:t>
            </w:r>
          </w:p>
        </w:tc>
      </w:tr>
      <w:tr>
        <w:trPr>
          <w:cantSplit w:val="1"/>
        </w:trPr>
        <w:tc>
          <w:tcPr>
            <w:tcW w:type="dxa" w:w="2340"/>
          </w:tcPr>
          <w:p>
            <w:pPr>
              <w:keepLines w:val="1"/>
              <w:keepNext w:val="1"/>
            </w:pPr>
            <w:r>
              <w:t>NIS2</w:t>
            </w:r>
          </w:p>
        </w:tc>
        <w:tc>
          <w:tcPr>
            <w:tcW w:type="dxa" w:w="2340"/>
          </w:tcPr>
          <w:p>
            <w:pPr>
              <w:keepLines w:val="1"/>
              <w:keepNext w:val="1"/>
            </w:pPr>
            <w:r>
              <w:t>Art. 21.2.a — Riesgos TIC emergentes</w:t>
            </w:r>
          </w:p>
        </w:tc>
        <w:tc>
          <w:tcPr>
            <w:tcW w:type="dxa" w:w="2340"/>
          </w:tcPr>
          <w:p>
            <w:pPr>
              <w:keepLines w:val="1"/>
              <w:keepNext w:val="1"/>
            </w:pPr>
            <w:r>
              <w:t>Complementario</w:t>
            </w:r>
          </w:p>
        </w:tc>
        <w:tc>
          <w:tcPr>
            <w:tcW w:type="dxa" w:w="2340"/>
          </w:tcPr>
          <w:p>
            <w:pPr>
              <w:keepLines w:val="1"/>
              <w:keepNext w:val="1"/>
            </w:pPr>
            <w:r>
              <w:t>Los sistemas de IA son activos TIC con riesgos propios</w:t>
            </w:r>
          </w:p>
        </w:tc>
      </w:tr>
      <w:tr>
        <w:trPr>
          <w:cantSplit w:val="1"/>
        </w:trPr>
        <w:tc>
          <w:tcPr>
            <w:tcW w:type="dxa" w:w="2340"/>
          </w:tcPr>
          <w:p>
            <w:pPr>
              <w:keepLines w:val="1"/>
            </w:pPr>
            <w:r>
              <w:t>RGPD</w:t>
            </w:r>
          </w:p>
        </w:tc>
        <w:tc>
          <w:tcPr>
            <w:tcW w:type="dxa" w:w="2340"/>
          </w:tcPr>
          <w:p>
            <w:pPr>
              <w:keepLines w:val="1"/>
            </w:pPr>
            <w:r>
              <w:t>Art. 22 — Decisiones automatizadas</w:t>
            </w:r>
          </w:p>
        </w:tc>
        <w:tc>
          <w:tcPr>
            <w:tcW w:type="dxa" w:w="2340"/>
          </w:tcPr>
          <w:p>
            <w:pPr>
              <w:keepLines w:val="1"/>
            </w:pPr>
            <w:r>
              <w:t>Complementario</w:t>
            </w:r>
          </w:p>
        </w:tc>
        <w:tc>
          <w:tcPr>
            <w:tcW w:type="dxa" w:w="2340"/>
          </w:tcPr>
          <w:p>
            <w:pPr>
              <w:keepLines w:val="1"/>
            </w:pPr>
            <w:r>
              <w:t>Los ataques adversariales pueden manipular decisiones automatizadas con datos personales</w:t>
            </w:r>
          </w:p>
        </w:tc>
      </w:tr>
    </w:tbl>
    <w:p/>
    <w:p>
      <w:r>
        <w:rPr>
          <w:b/>
        </w:rPr>
        <w:t>Goal GQM asociado:</w:t>
      </w:r>
      <w:r>
        <w:t xml:space="preserve"> G-AI-1</w:t>
      </w:r>
      <w:r/>
      <w:r>
        <w:br/>
      </w:r>
      <w:r>
        <w:rPr>
          <w:b/>
        </w:rPr>
        <w:t>Score PRAGMATIC:</w:t>
      </w:r>
      <w:r>
        <w:t xml:space="preserve"> 3,3 / 5,0</w:t>
      </w:r>
    </w:p>
    <w:p>
      <w:pPr>
        <w:pStyle w:val="Heading3"/>
        <w:keepNext/>
        <w:keepLines/>
      </w:pPr>
      <w:r>
        <w:t>M-AI-1.2 — Madurez del proceso de Prompt Injection Testing</w:t>
      </w:r>
    </w:p>
    <w:tbl>
      <w:tblPr>
        <w:tblStyle w:val="LightGrid-Accent1"/>
        <w:tblW w:type="auto" w:w="0"/>
        <w:tblLook w:firstColumn="1" w:firstRow="1" w:lastColumn="0" w:lastRow="0" w:noHBand="0" w:noVBand="1" w:val="04A0"/>
      </w:tblPr>
      <w:tblGrid>
        <w:gridCol w:w="2340"/>
        <w:gridCol w:w="2340"/>
        <w:gridCol w:w="2340"/>
        <w:gridCol w:w="2340"/>
      </w:tblGrid>
      <w:tr>
        <w:trPr>
          <w:cantSplit w:val="1"/>
        </w:trPr>
        <w:tc>
          <w:tcPr>
            <w:tcW w:type="dxa" w:w="2340"/>
            <w:shd w:fill="0033CC"/>
          </w:tcPr>
          <w:p>
            <w:pPr>
              <w:keepLines w:val="1"/>
              <w:keepNext w:val="1"/>
            </w:pPr>
            <w:r>
              <w:rPr>
                <w:b/>
                <w:color w:val="FFFFFF"/>
              </w:rPr>
              <w:t>Marco</w:t>
            </w:r>
          </w:p>
        </w:tc>
        <w:tc>
          <w:tcPr>
            <w:tcW w:type="dxa" w:w="2340"/>
            <w:shd w:fill="0033CC"/>
          </w:tcPr>
          <w:p>
            <w:pPr>
              <w:keepLines w:val="1"/>
              <w:keepNext w:val="1"/>
            </w:pPr>
            <w:r>
              <w:rPr>
                <w:b/>
                <w:color w:val="FFFFFF"/>
              </w:rPr>
              <w:t>Artículo / Control</w:t>
            </w:r>
          </w:p>
        </w:tc>
        <w:tc>
          <w:tcPr>
            <w:tcW w:type="dxa" w:w="2340"/>
            <w:shd w:fill="0033CC"/>
          </w:tcPr>
          <w:p>
            <w:pPr>
              <w:keepLines w:val="1"/>
              <w:keepNext w:val="1"/>
            </w:pPr>
            <w:r>
              <w:rPr>
                <w:b/>
                <w:color w:val="FFFFFF"/>
              </w:rPr>
              <w:t>Tipo de mapeo</w:t>
            </w:r>
          </w:p>
        </w:tc>
        <w:tc>
          <w:tcPr>
            <w:tcW w:type="dxa" w:w="2340"/>
            <w:shd w:fill="0033CC"/>
          </w:tcPr>
          <w:p>
            <w:pPr>
              <w:keepLines w:val="1"/>
              <w:keepNext w:val="1"/>
            </w:pPr>
            <w:r>
              <w:rPr>
                <w:b/>
                <w:color w:val="FFFFFF"/>
              </w:rPr>
              <w:t>Evidencia requerida</w:t>
            </w:r>
          </w:p>
        </w:tc>
      </w:tr>
      <w:tr>
        <w:trPr>
          <w:cantSplit w:val="1"/>
        </w:trPr>
        <w:tc>
          <w:tcPr>
            <w:tcW w:type="dxa" w:w="2340"/>
          </w:tcPr>
          <w:p>
            <w:pPr>
              <w:keepLines w:val="1"/>
              <w:keepNext w:val="1"/>
            </w:pPr>
            <w:r>
              <w:t>NIST AI 100-2e2025</w:t>
            </w:r>
          </w:p>
        </w:tc>
        <w:tc>
          <w:tcPr>
            <w:tcW w:type="dxa" w:w="2340"/>
          </w:tcPr>
          <w:p>
            <w:pPr>
              <w:keepLines w:val="1"/>
              <w:keepNext w:val="1"/>
            </w:pPr>
            <w:r>
              <w:t>Prompt injection como ataque específico a LLMs</w:t>
            </w:r>
          </w:p>
        </w:tc>
        <w:tc>
          <w:tcPr>
            <w:tcW w:type="dxa" w:w="2340"/>
          </w:tcPr>
          <w:p>
            <w:pPr>
              <w:keepLines w:val="1"/>
              <w:keepNext w:val="1"/>
            </w:pPr>
            <w:r>
              <w:t>Directo</w:t>
            </w:r>
          </w:p>
        </w:tc>
        <w:tc>
          <w:tcPr>
            <w:tcW w:type="dxa" w:w="2340"/>
          </w:tcPr>
          <w:p>
            <w:pPr>
              <w:keepLines w:val="1"/>
              <w:keepNext w:val="1"/>
            </w:pPr>
            <w:r>
              <w:t>La métrica mide el proceso de testing del ataque específicamente documentado por NIST</w:t>
            </w:r>
          </w:p>
        </w:tc>
      </w:tr>
      <w:tr>
        <w:trPr>
          <w:cantSplit w:val="1"/>
        </w:trPr>
        <w:tc>
          <w:tcPr>
            <w:tcW w:type="dxa" w:w="2340"/>
          </w:tcPr>
          <w:p>
            <w:pPr>
              <w:keepLines w:val="1"/>
              <w:keepNext w:val="1"/>
            </w:pPr>
            <w:r>
              <w:t>ISO 42001</w:t>
            </w:r>
          </w:p>
        </w:tc>
        <w:tc>
          <w:tcPr>
            <w:tcW w:type="dxa" w:w="2340"/>
          </w:tcPr>
          <w:p>
            <w:pPr>
              <w:keepLines w:val="1"/>
              <w:keepNext w:val="1"/>
            </w:pPr>
            <w:r>
              <w:t>A.6.2 — AI system testing</w:t>
            </w:r>
          </w:p>
        </w:tc>
        <w:tc>
          <w:tcPr>
            <w:tcW w:type="dxa" w:w="2340"/>
          </w:tcPr>
          <w:p>
            <w:pPr>
              <w:keepLines w:val="1"/>
              <w:keepNext w:val="1"/>
            </w:pPr>
            <w:r>
              <w:t>Directo</w:t>
            </w:r>
          </w:p>
        </w:tc>
        <w:tc>
          <w:tcPr>
            <w:tcW w:type="dxa" w:w="2340"/>
          </w:tcPr>
          <w:p>
            <w:pPr>
              <w:keepLines w:val="1"/>
              <w:keepNext w:val="1"/>
            </w:pPr>
            <w:r>
              <w:t>ISO 42001 exige testing de sistemas de IA; prompt injection es un test obligado para LLMs</w:t>
            </w:r>
          </w:p>
        </w:tc>
      </w:tr>
      <w:tr>
        <w:trPr>
          <w:cantSplit w:val="1"/>
        </w:trPr>
        <w:tc>
          <w:tcPr>
            <w:tcW w:type="dxa" w:w="2340"/>
          </w:tcPr>
          <w:p>
            <w:pPr>
              <w:keepLines w:val="1"/>
              <w:keepNext w:val="1"/>
            </w:pPr>
            <w:r>
              <w:t>EU AI Act</w:t>
            </w:r>
          </w:p>
        </w:tc>
        <w:tc>
          <w:tcPr>
            <w:tcW w:type="dxa" w:w="2340"/>
          </w:tcPr>
          <w:p>
            <w:pPr>
              <w:keepLines w:val="1"/>
              <w:keepNext w:val="1"/>
            </w:pPr>
            <w:r>
              <w:t>Art. 9.7 — Testing procedures (High-risk AI)</w:t>
            </w:r>
          </w:p>
        </w:tc>
        <w:tc>
          <w:tcPr>
            <w:tcW w:type="dxa" w:w="2340"/>
          </w:tcPr>
          <w:p>
            <w:pPr>
              <w:keepLines w:val="1"/>
              <w:keepNext w:val="1"/>
            </w:pPr>
            <w:r>
              <w:t>Prospectivo</w:t>
            </w:r>
          </w:p>
        </w:tc>
        <w:tc>
          <w:tcPr>
            <w:tcW w:type="dxa" w:w="2340"/>
          </w:tcPr>
          <w:p>
            <w:pPr>
              <w:keepLines w:val="1"/>
              <w:keepNext w:val="1"/>
            </w:pPr>
            <w:r>
              <w:t>Para IA de alto riesgo, los procedimientos de testing deben cubrir ataques adversariales</w:t>
            </w:r>
          </w:p>
        </w:tc>
      </w:tr>
      <w:tr>
        <w:trPr>
          <w:cantSplit w:val="1"/>
        </w:trPr>
        <w:tc>
          <w:tcPr>
            <w:tcW w:type="dxa" w:w="2340"/>
          </w:tcPr>
          <w:p>
            <w:pPr>
              <w:keepLines w:val="1"/>
              <w:keepNext w:val="1"/>
            </w:pPr>
            <w:r>
              <w:t>OWASP LLM Top 10</w:t>
            </w:r>
          </w:p>
        </w:tc>
        <w:tc>
          <w:tcPr>
            <w:tcW w:type="dxa" w:w="2340"/>
          </w:tcPr>
          <w:p>
            <w:pPr>
              <w:keepLines w:val="1"/>
              <w:keepNext w:val="1"/>
            </w:pPr>
            <w:r>
              <w:t>LLM01: Prompt Injection</w:t>
            </w:r>
          </w:p>
        </w:tc>
        <w:tc>
          <w:tcPr>
            <w:tcW w:type="dxa" w:w="2340"/>
          </w:tcPr>
          <w:p>
            <w:pPr>
              <w:keepLines w:val="1"/>
              <w:keepNext w:val="1"/>
            </w:pPr>
            <w:r>
              <w:t>Referencia técnica</w:t>
            </w:r>
          </w:p>
        </w:tc>
        <w:tc>
          <w:tcPr>
            <w:tcW w:type="dxa" w:w="2340"/>
          </w:tcPr>
          <w:p>
            <w:pPr>
              <w:keepLines w:val="1"/>
              <w:keepNext w:val="1"/>
            </w:pPr>
            <w:r>
              <w:t>OWASP identifica prompt injection como el riesgo #1 en aplicaciones LLM</w:t>
            </w:r>
          </w:p>
        </w:tc>
      </w:tr>
      <w:tr>
        <w:trPr>
          <w:cantSplit w:val="1"/>
        </w:trPr>
        <w:tc>
          <w:tcPr>
            <w:tcW w:type="dxa" w:w="2340"/>
          </w:tcPr>
          <w:p>
            <w:pPr>
              <w:keepLines w:val="1"/>
            </w:pPr>
            <w:r>
              <w:t>ENS</w:t>
            </w:r>
          </w:p>
        </w:tc>
        <w:tc>
          <w:tcPr>
            <w:tcW w:type="dxa" w:w="2340"/>
          </w:tcPr>
          <w:p>
            <w:pPr>
              <w:keepLines w:val="1"/>
            </w:pPr>
            <w:r>
              <w:t>M.op.pl.2 — Pruebas de seguridad de sistemas</w:t>
            </w:r>
          </w:p>
        </w:tc>
        <w:tc>
          <w:tcPr>
            <w:tcW w:type="dxa" w:w="2340"/>
          </w:tcPr>
          <w:p>
            <w:pPr>
              <w:keepLines w:val="1"/>
            </w:pPr>
            <w:r>
              <w:t>Complementario</w:t>
            </w:r>
          </w:p>
        </w:tc>
        <w:tc>
          <w:tcPr>
            <w:tcW w:type="dxa" w:w="2340"/>
          </w:tcPr>
          <w:p>
            <w:pPr>
              <w:keepLines w:val="1"/>
            </w:pPr>
            <w:r>
              <w:t>ENS exige pruebas de seguridad; en sistemas LLM incluye prompt injection</w:t>
            </w:r>
          </w:p>
        </w:tc>
      </w:tr>
    </w:tbl>
    <w:p/>
    <w:p>
      <w:r>
        <w:rPr>
          <w:b/>
        </w:rPr>
        <w:t>Goal GQM asociado:</w:t>
      </w:r>
      <w:r>
        <w:t xml:space="preserve"> G-AI-1</w:t>
      </w:r>
      <w:r/>
      <w:r>
        <w:br/>
      </w:r>
      <w:r>
        <w:rPr>
          <w:b/>
        </w:rPr>
        <w:t>Score PRAGMATIC:</w:t>
      </w:r>
      <w:r>
        <w:t xml:space="preserve"> 3,1 / 5,0</w:t>
      </w:r>
    </w:p>
    <w:p>
      <w:pPr>
        <w:pStyle w:val="Heading2"/>
        <w:keepNext/>
        <w:keepLines/>
      </w:pPr>
      <w:r>
        <w:rPr>
          <w:color w:val="0066CC"/>
        </w:rPr>
        <w:t>DOMINIO POST-QUANTUM CRYPTOGRAPHY — Métricas M-PQC</w:t>
      </w:r>
    </w:p>
    <w:p>
      <w:pPr>
        <w:pStyle w:val="Heading3"/>
        <w:keepNext/>
        <w:keepLines/>
      </w:pPr>
      <w:r>
        <w:t>M-PQC-1.1 — Cobertura del inventario criptográfico</w:t>
      </w:r>
    </w:p>
    <w:tbl>
      <w:tblPr>
        <w:tblStyle w:val="LightGrid-Accent1"/>
        <w:tblW w:type="auto" w:w="0"/>
        <w:tblLook w:firstColumn="1" w:firstRow="1" w:lastColumn="0" w:lastRow="0" w:noHBand="0" w:noVBand="1" w:val="04A0"/>
      </w:tblPr>
      <w:tblGrid>
        <w:gridCol w:w="2340"/>
        <w:gridCol w:w="2340"/>
        <w:gridCol w:w="2340"/>
        <w:gridCol w:w="2340"/>
      </w:tblGrid>
      <w:tr>
        <w:trPr>
          <w:cantSplit w:val="1"/>
        </w:trPr>
        <w:tc>
          <w:tcPr>
            <w:tcW w:type="dxa" w:w="2340"/>
            <w:shd w:fill="0033CC"/>
          </w:tcPr>
          <w:p>
            <w:pPr>
              <w:keepLines w:val="1"/>
              <w:keepNext w:val="1"/>
            </w:pPr>
            <w:r>
              <w:rPr>
                <w:b/>
                <w:color w:val="FFFFFF"/>
              </w:rPr>
              <w:t>Marco</w:t>
            </w:r>
          </w:p>
        </w:tc>
        <w:tc>
          <w:tcPr>
            <w:tcW w:type="dxa" w:w="2340"/>
            <w:shd w:fill="0033CC"/>
          </w:tcPr>
          <w:p>
            <w:pPr>
              <w:keepLines w:val="1"/>
              <w:keepNext w:val="1"/>
            </w:pPr>
            <w:r>
              <w:rPr>
                <w:b/>
                <w:color w:val="FFFFFF"/>
              </w:rPr>
              <w:t>Artículo / Control</w:t>
            </w:r>
          </w:p>
        </w:tc>
        <w:tc>
          <w:tcPr>
            <w:tcW w:type="dxa" w:w="2340"/>
            <w:shd w:fill="0033CC"/>
          </w:tcPr>
          <w:p>
            <w:pPr>
              <w:keepLines w:val="1"/>
              <w:keepNext w:val="1"/>
            </w:pPr>
            <w:r>
              <w:rPr>
                <w:b/>
                <w:color w:val="FFFFFF"/>
              </w:rPr>
              <w:t>Tipo de mapeo</w:t>
            </w:r>
          </w:p>
        </w:tc>
        <w:tc>
          <w:tcPr>
            <w:tcW w:type="dxa" w:w="2340"/>
            <w:shd w:fill="0033CC"/>
          </w:tcPr>
          <w:p>
            <w:pPr>
              <w:keepLines w:val="1"/>
              <w:keepNext w:val="1"/>
            </w:pPr>
            <w:r>
              <w:rPr>
                <w:b/>
                <w:color w:val="FFFFFF"/>
              </w:rPr>
              <w:t>Evidencia requerida</w:t>
            </w:r>
          </w:p>
        </w:tc>
      </w:tr>
      <w:tr>
        <w:trPr>
          <w:cantSplit w:val="1"/>
        </w:trPr>
        <w:tc>
          <w:tcPr>
            <w:tcW w:type="dxa" w:w="2340"/>
          </w:tcPr>
          <w:p>
            <w:pPr>
              <w:keepLines w:val="1"/>
              <w:keepNext w:val="1"/>
            </w:pPr>
            <w:r>
              <w:t>NIS2</w:t>
            </w:r>
          </w:p>
        </w:tc>
        <w:tc>
          <w:tcPr>
            <w:tcW w:type="dxa" w:w="2340"/>
          </w:tcPr>
          <w:p>
            <w:pPr>
              <w:keepLines w:val="1"/>
              <w:keepNext w:val="1"/>
            </w:pPr>
            <w:r>
              <w:t>Art. 21.2.h — Uso de criptografía</w:t>
            </w:r>
          </w:p>
        </w:tc>
        <w:tc>
          <w:tcPr>
            <w:tcW w:type="dxa" w:w="2340"/>
          </w:tcPr>
          <w:p>
            <w:pPr>
              <w:keepLines w:val="1"/>
              <w:keepNext w:val="1"/>
            </w:pPr>
            <w:r>
              <w:t>Directo</w:t>
            </w:r>
          </w:p>
        </w:tc>
        <w:tc>
          <w:tcPr>
            <w:tcW w:type="dxa" w:w="2340"/>
          </w:tcPr>
          <w:p>
            <w:pPr>
              <w:keepLines w:val="1"/>
              <w:keepNext w:val="1"/>
            </w:pPr>
            <w:r>
              <w:t>No se puede garantizar "uso apropiado" sin inventario de lo que se usa</w:t>
            </w:r>
          </w:p>
        </w:tc>
      </w:tr>
      <w:tr>
        <w:trPr>
          <w:cantSplit w:val="1"/>
        </w:trPr>
        <w:tc>
          <w:tcPr>
            <w:tcW w:type="dxa" w:w="2340"/>
          </w:tcPr>
          <w:p>
            <w:pPr>
              <w:keepLines w:val="1"/>
              <w:keepNext w:val="1"/>
            </w:pPr>
            <w:r>
              <w:t>ENS</w:t>
            </w:r>
          </w:p>
        </w:tc>
        <w:tc>
          <w:tcPr>
            <w:tcW w:type="dxa" w:w="2340"/>
          </w:tcPr>
          <w:p>
            <w:pPr>
              <w:keepLines w:val="1"/>
              <w:keepNext w:val="1"/>
            </w:pPr>
            <w:r>
              <w:t>M.mp.com.2 — Cifrado con algoritmos reconocidos</w:t>
            </w:r>
          </w:p>
        </w:tc>
        <w:tc>
          <w:tcPr>
            <w:tcW w:type="dxa" w:w="2340"/>
          </w:tcPr>
          <w:p>
            <w:pPr>
              <w:keepLines w:val="1"/>
              <w:keepNext w:val="1"/>
            </w:pPr>
            <w:r>
              <w:t>Directo</w:t>
            </w:r>
          </w:p>
        </w:tc>
        <w:tc>
          <w:tcPr>
            <w:tcW w:type="dxa" w:w="2340"/>
          </w:tcPr>
          <w:p>
            <w:pPr>
              <w:keepLines w:val="1"/>
              <w:keepNext w:val="1"/>
            </w:pPr>
            <w:r>
              <w:t>El inventario es el prerrequisito para verificar el cumplimiento ENS</w:t>
            </w:r>
          </w:p>
        </w:tc>
      </w:tr>
      <w:tr>
        <w:trPr>
          <w:cantSplit w:val="1"/>
        </w:trPr>
        <w:tc>
          <w:tcPr>
            <w:tcW w:type="dxa" w:w="2340"/>
          </w:tcPr>
          <w:p>
            <w:pPr>
              <w:keepLines w:val="1"/>
              <w:keepNext w:val="1"/>
            </w:pPr>
            <w:r>
              <w:t>DORA</w:t>
            </w:r>
          </w:p>
        </w:tc>
        <w:tc>
          <w:tcPr>
            <w:tcW w:type="dxa" w:w="2340"/>
          </w:tcPr>
          <w:p>
            <w:pPr>
              <w:keepLines w:val="1"/>
              <w:keepNext w:val="1"/>
            </w:pPr>
            <w:r>
              <w:t>Art. 9.4.b — Robustez del cifrado</w:t>
            </w:r>
          </w:p>
        </w:tc>
        <w:tc>
          <w:tcPr>
            <w:tcW w:type="dxa" w:w="2340"/>
          </w:tcPr>
          <w:p>
            <w:pPr>
              <w:keepLines w:val="1"/>
              <w:keepNext w:val="1"/>
            </w:pPr>
            <w:r>
              <w:t>Directo</w:t>
            </w:r>
          </w:p>
        </w:tc>
        <w:tc>
          <w:tcPr>
            <w:tcW w:type="dxa" w:w="2340"/>
          </w:tcPr>
          <w:p>
            <w:pPr>
              <w:keepLines w:val="1"/>
              <w:keepNext w:val="1"/>
            </w:pPr>
            <w:r>
              <w:t>La robustez post-cuántica requiere conocer qué algoritmos se usan actualmente</w:t>
            </w:r>
          </w:p>
        </w:tc>
      </w:tr>
      <w:tr>
        <w:trPr>
          <w:cantSplit w:val="1"/>
        </w:trPr>
        <w:tc>
          <w:tcPr>
            <w:tcW w:type="dxa" w:w="2340"/>
          </w:tcPr>
          <w:p>
            <w:pPr>
              <w:keepLines w:val="1"/>
              <w:keepNext w:val="1"/>
            </w:pPr>
            <w:r>
              <w:t>NIST PQC</w:t>
            </w:r>
          </w:p>
        </w:tc>
        <w:tc>
          <w:tcPr>
            <w:tcW w:type="dxa" w:w="2340"/>
          </w:tcPr>
          <w:p>
            <w:pPr>
              <w:keepLines w:val="1"/>
              <w:keepNext w:val="1"/>
            </w:pPr>
            <w:r>
              <w:t>NIST IR 8547 — Transition to Post-Quantum Cryptography</w:t>
            </w:r>
          </w:p>
        </w:tc>
        <w:tc>
          <w:tcPr>
            <w:tcW w:type="dxa" w:w="2340"/>
          </w:tcPr>
          <w:p>
            <w:pPr>
              <w:keepLines w:val="1"/>
              <w:keepNext w:val="1"/>
            </w:pPr>
            <w:r>
              <w:t>Directo</w:t>
            </w:r>
          </w:p>
        </w:tc>
        <w:tc>
          <w:tcPr>
            <w:tcW w:type="dxa" w:w="2340"/>
          </w:tcPr>
          <w:p>
            <w:pPr>
              <w:keepLines w:val="1"/>
              <w:keepNext w:val="1"/>
            </w:pPr>
            <w:r>
              <w:t>NIST exige inventario como primer paso de la migración PQC</w:t>
            </w:r>
          </w:p>
        </w:tc>
      </w:tr>
      <w:tr>
        <w:trPr>
          <w:cantSplit w:val="1"/>
        </w:trPr>
        <w:tc>
          <w:tcPr>
            <w:tcW w:type="dxa" w:w="2340"/>
          </w:tcPr>
          <w:p>
            <w:pPr>
              <w:keepLines w:val="1"/>
              <w:keepNext w:val="1"/>
            </w:pPr>
            <w:r>
              <w:t>NIST PQC</w:t>
            </w:r>
          </w:p>
        </w:tc>
        <w:tc>
          <w:tcPr>
            <w:tcW w:type="dxa" w:w="2340"/>
          </w:tcPr>
          <w:p>
            <w:pPr>
              <w:keepLines w:val="1"/>
              <w:keepNext w:val="1"/>
            </w:pPr>
            <w:r>
              <w:t>FIPS 203/204/205 — Nuevos estándares PQC</w:t>
            </w:r>
          </w:p>
        </w:tc>
        <w:tc>
          <w:tcPr>
            <w:tcW w:type="dxa" w:w="2340"/>
          </w:tcPr>
          <w:p>
            <w:pPr>
              <w:keepLines w:val="1"/>
              <w:keepNext w:val="1"/>
            </w:pPr>
            <w:r>
              <w:t>Prospectivo</w:t>
            </w:r>
          </w:p>
        </w:tc>
        <w:tc>
          <w:tcPr>
            <w:tcW w:type="dxa" w:w="2340"/>
          </w:tcPr>
          <w:p>
            <w:pPr>
              <w:keepLines w:val="1"/>
              <w:keepNext w:val="1"/>
            </w:pPr>
            <w:r>
              <w:t>El inventario identifica qué sistemas deben migrar a ML-KEM, ML-DSA, SLH-DSA</w:t>
            </w:r>
          </w:p>
        </w:tc>
      </w:tr>
      <w:tr>
        <w:trPr>
          <w:cantSplit w:val="1"/>
        </w:trPr>
        <w:tc>
          <w:tcPr>
            <w:tcW w:type="dxa" w:w="2340"/>
          </w:tcPr>
          <w:p>
            <w:pPr>
              <w:keepLines w:val="1"/>
              <w:keepNext w:val="1"/>
            </w:pPr>
            <w:r>
              <w:t>ISO 27001</w:t>
            </w:r>
          </w:p>
        </w:tc>
        <w:tc>
          <w:tcPr>
            <w:tcW w:type="dxa" w:w="2340"/>
          </w:tcPr>
          <w:p>
            <w:pPr>
              <w:keepLines w:val="1"/>
              <w:keepNext w:val="1"/>
            </w:pPr>
            <w:r>
              <w:t>A.8.24 — Use of cryptography</w:t>
            </w:r>
          </w:p>
        </w:tc>
        <w:tc>
          <w:tcPr>
            <w:tcW w:type="dxa" w:w="2340"/>
          </w:tcPr>
          <w:p>
            <w:pPr>
              <w:keepLines w:val="1"/>
              <w:keepNext w:val="1"/>
            </w:pPr>
            <w:r>
              <w:t>Complementario</w:t>
            </w:r>
          </w:p>
        </w:tc>
        <w:tc>
          <w:tcPr>
            <w:tcW w:type="dxa" w:w="2340"/>
          </w:tcPr>
          <w:p>
            <w:pPr>
              <w:keepLines w:val="1"/>
              <w:keepNext w:val="1"/>
            </w:pPr>
            <w:r>
              <w:t>La política criptográfica requiere inventario para ser efectiva</w:t>
            </w:r>
          </w:p>
        </w:tc>
      </w:tr>
      <w:tr>
        <w:trPr>
          <w:cantSplit w:val="1"/>
        </w:trPr>
        <w:tc>
          <w:tcPr>
            <w:tcW w:type="dxa" w:w="2340"/>
          </w:tcPr>
          <w:p>
            <w:pPr>
              <w:keepLines w:val="1"/>
            </w:pPr>
            <w:r>
              <w:t>LCyGC</w:t>
            </w:r>
          </w:p>
        </w:tc>
        <w:tc>
          <w:tcPr>
            <w:tcW w:type="dxa" w:w="2340"/>
          </w:tcPr>
          <w:p>
            <w:pPr>
              <w:keepLines w:val="1"/>
            </w:pPr>
            <w:r>
              <w:t>Disposiciones sobre criptografía segura</w:t>
            </w:r>
          </w:p>
        </w:tc>
        <w:tc>
          <w:tcPr>
            <w:tcW w:type="dxa" w:w="2340"/>
          </w:tcPr>
          <w:p>
            <w:pPr>
              <w:keepLines w:val="1"/>
            </w:pPr>
            <w:r>
              <w:t>Nacional</w:t>
            </w:r>
          </w:p>
        </w:tc>
        <w:tc>
          <w:tcPr>
            <w:tcW w:type="dxa" w:w="2340"/>
          </w:tcPr>
          <w:p>
            <w:pPr>
              <w:keepLines w:val="1"/>
            </w:pPr>
            <w:r>
              <w:t>La ley española de ciberseguridad contempla requisitos de criptografía vigente</w:t>
            </w:r>
          </w:p>
        </w:tc>
      </w:tr>
    </w:tbl>
    <w:p/>
    <w:p>
      <w:r>
        <w:rPr>
          <w:b/>
        </w:rPr>
        <w:t>Goal GQM asociado:</w:t>
      </w:r>
      <w:r>
        <w:t xml:space="preserve"> G-PQC-1</w:t>
      </w:r>
      <w:r/>
      <w:r>
        <w:br/>
      </w:r>
      <w:r>
        <w:rPr>
          <w:b/>
        </w:rPr>
        <w:t>Score PRAGMATIC:</w:t>
      </w:r>
      <w:r>
        <w:t xml:space="preserve"> 4,0 / 5,0</w:t>
      </w:r>
    </w:p>
    <w:p>
      <w:pPr>
        <w:pStyle w:val="Heading3"/>
        <w:keepNext/>
        <w:keepLines/>
      </w:pPr>
      <w:r>
        <w:t>M-PQC-1.2 — Progreso de migración a algoritmos NIST PQC</w:t>
      </w:r>
    </w:p>
    <w:tbl>
      <w:tblPr>
        <w:tblStyle w:val="LightGrid-Accent1"/>
        <w:tblW w:type="auto" w:w="0"/>
        <w:tblLook w:firstColumn="1" w:firstRow="1" w:lastColumn="0" w:lastRow="0" w:noHBand="0" w:noVBand="1" w:val="04A0"/>
      </w:tblPr>
      <w:tblGrid>
        <w:gridCol w:w="2340"/>
        <w:gridCol w:w="2340"/>
        <w:gridCol w:w="2340"/>
        <w:gridCol w:w="2340"/>
      </w:tblGrid>
      <w:tr>
        <w:trPr>
          <w:cantSplit w:val="1"/>
        </w:trPr>
        <w:tc>
          <w:tcPr>
            <w:tcW w:type="dxa" w:w="2340"/>
            <w:shd w:fill="0033CC"/>
          </w:tcPr>
          <w:p>
            <w:pPr>
              <w:keepLines w:val="1"/>
              <w:keepNext w:val="1"/>
            </w:pPr>
            <w:r>
              <w:rPr>
                <w:b/>
                <w:color w:val="FFFFFF"/>
              </w:rPr>
              <w:t>Marco</w:t>
            </w:r>
          </w:p>
        </w:tc>
        <w:tc>
          <w:tcPr>
            <w:tcW w:type="dxa" w:w="2340"/>
            <w:shd w:fill="0033CC"/>
          </w:tcPr>
          <w:p>
            <w:pPr>
              <w:keepLines w:val="1"/>
              <w:keepNext w:val="1"/>
            </w:pPr>
            <w:r>
              <w:rPr>
                <w:b/>
                <w:color w:val="FFFFFF"/>
              </w:rPr>
              <w:t>Artículo / Control</w:t>
            </w:r>
          </w:p>
        </w:tc>
        <w:tc>
          <w:tcPr>
            <w:tcW w:type="dxa" w:w="2340"/>
            <w:shd w:fill="0033CC"/>
          </w:tcPr>
          <w:p>
            <w:pPr>
              <w:keepLines w:val="1"/>
              <w:keepNext w:val="1"/>
            </w:pPr>
            <w:r>
              <w:rPr>
                <w:b/>
                <w:color w:val="FFFFFF"/>
              </w:rPr>
              <w:t>Tipo de mapeo</w:t>
            </w:r>
          </w:p>
        </w:tc>
        <w:tc>
          <w:tcPr>
            <w:tcW w:type="dxa" w:w="2340"/>
            <w:shd w:fill="0033CC"/>
          </w:tcPr>
          <w:p>
            <w:pPr>
              <w:keepLines w:val="1"/>
              <w:keepNext w:val="1"/>
            </w:pPr>
            <w:r>
              <w:rPr>
                <w:b/>
                <w:color w:val="FFFFFF"/>
              </w:rPr>
              <w:t>Evidencia requerida</w:t>
            </w:r>
          </w:p>
        </w:tc>
      </w:tr>
      <w:tr>
        <w:trPr>
          <w:cantSplit w:val="1"/>
        </w:trPr>
        <w:tc>
          <w:tcPr>
            <w:tcW w:type="dxa" w:w="2340"/>
          </w:tcPr>
          <w:p>
            <w:pPr>
              <w:keepLines w:val="1"/>
              <w:keepNext w:val="1"/>
            </w:pPr>
            <w:r>
              <w:t>NIST PQC</w:t>
            </w:r>
          </w:p>
        </w:tc>
        <w:tc>
          <w:tcPr>
            <w:tcW w:type="dxa" w:w="2340"/>
          </w:tcPr>
          <w:p>
            <w:pPr>
              <w:keepLines w:val="1"/>
              <w:keepNext w:val="1"/>
            </w:pPr>
            <w:r>
              <w:t>NIST IR 8547 — Hoja de ruta de migración PQC</w:t>
            </w:r>
          </w:p>
        </w:tc>
        <w:tc>
          <w:tcPr>
            <w:tcW w:type="dxa" w:w="2340"/>
          </w:tcPr>
          <w:p>
            <w:pPr>
              <w:keepLines w:val="1"/>
              <w:keepNext w:val="1"/>
            </w:pPr>
            <w:r>
              <w:t>Directo</w:t>
            </w:r>
          </w:p>
        </w:tc>
        <w:tc>
          <w:tcPr>
            <w:tcW w:type="dxa" w:w="2340"/>
          </w:tcPr>
          <w:p>
            <w:pPr>
              <w:keepLines w:val="1"/>
              <w:keepNext w:val="1"/>
            </w:pPr>
            <w:r>
              <w:t>La métrica mide el progreso en la hoja de ruta NIST</w:t>
            </w:r>
          </w:p>
        </w:tc>
      </w:tr>
      <w:tr>
        <w:trPr>
          <w:cantSplit w:val="1"/>
        </w:trPr>
        <w:tc>
          <w:tcPr>
            <w:tcW w:type="dxa" w:w="2340"/>
          </w:tcPr>
          <w:p>
            <w:pPr>
              <w:keepLines w:val="1"/>
              <w:keepNext w:val="1"/>
            </w:pPr>
            <w:r>
              <w:t>NIST PQC</w:t>
            </w:r>
          </w:p>
        </w:tc>
        <w:tc>
          <w:tcPr>
            <w:tcW w:type="dxa" w:w="2340"/>
          </w:tcPr>
          <w:p>
            <w:pPr>
              <w:keepLines w:val="1"/>
              <w:keepNext w:val="1"/>
            </w:pPr>
            <w:r>
              <w:t>FIPS 203 (ML-KEM) / FIPS 204 (ML-DSA) / FIPS 205 (SLH-DSA)</w:t>
            </w:r>
          </w:p>
        </w:tc>
        <w:tc>
          <w:tcPr>
            <w:tcW w:type="dxa" w:w="2340"/>
          </w:tcPr>
          <w:p>
            <w:pPr>
              <w:keepLines w:val="1"/>
              <w:keepNext w:val="1"/>
            </w:pPr>
            <w:r>
              <w:t>Directo</w:t>
            </w:r>
          </w:p>
        </w:tc>
        <w:tc>
          <w:tcPr>
            <w:tcW w:type="dxa" w:w="2340"/>
          </w:tcPr>
          <w:p>
            <w:pPr>
              <w:keepLines w:val="1"/>
              <w:keepNext w:val="1"/>
            </w:pPr>
            <w:r>
              <w:t>Los algoritmos de destino de la migración</w:t>
            </w:r>
          </w:p>
        </w:tc>
      </w:tr>
      <w:tr>
        <w:trPr>
          <w:cantSplit w:val="1"/>
        </w:trPr>
        <w:tc>
          <w:tcPr>
            <w:tcW w:type="dxa" w:w="2340"/>
          </w:tcPr>
          <w:p>
            <w:pPr>
              <w:keepLines w:val="1"/>
              <w:keepNext w:val="1"/>
            </w:pPr>
            <w:r>
              <w:t>NIS2</w:t>
            </w:r>
          </w:p>
        </w:tc>
        <w:tc>
          <w:tcPr>
            <w:tcW w:type="dxa" w:w="2340"/>
          </w:tcPr>
          <w:p>
            <w:pPr>
              <w:keepLines w:val="1"/>
              <w:keepNext w:val="1"/>
            </w:pPr>
            <w:r>
              <w:t>Art. 21.2.h — Uso de criptografía apropiada</w:t>
            </w:r>
          </w:p>
        </w:tc>
        <w:tc>
          <w:tcPr>
            <w:tcW w:type="dxa" w:w="2340"/>
          </w:tcPr>
          <w:p>
            <w:pPr>
              <w:keepLines w:val="1"/>
              <w:keepNext w:val="1"/>
            </w:pPr>
            <w:r>
              <w:t>Prospectivo</w:t>
            </w:r>
          </w:p>
        </w:tc>
        <w:tc>
          <w:tcPr>
            <w:tcW w:type="dxa" w:w="2340"/>
          </w:tcPr>
          <w:p>
            <w:pPr>
              <w:keepLines w:val="1"/>
              <w:keepNext w:val="1"/>
            </w:pPr>
            <w:r>
              <w:t>En 2030+, los algoritmos actuales dejarán de ser "apropiados" ante computación cuántica</w:t>
            </w:r>
          </w:p>
        </w:tc>
      </w:tr>
      <w:tr>
        <w:trPr>
          <w:cantSplit w:val="1"/>
        </w:trPr>
        <w:tc>
          <w:tcPr>
            <w:tcW w:type="dxa" w:w="2340"/>
          </w:tcPr>
          <w:p>
            <w:pPr>
              <w:keepLines w:val="1"/>
              <w:keepNext w:val="1"/>
            </w:pPr>
            <w:r>
              <w:t>ENS</w:t>
            </w:r>
          </w:p>
        </w:tc>
        <w:tc>
          <w:tcPr>
            <w:tcW w:type="dxa" w:w="2340"/>
          </w:tcPr>
          <w:p>
            <w:pPr>
              <w:keepLines w:val="1"/>
              <w:keepNext w:val="1"/>
            </w:pPr>
            <w:r>
              <w:t>M.mp.com.2 — Algoritmos vigentes</w:t>
            </w:r>
          </w:p>
        </w:tc>
        <w:tc>
          <w:tcPr>
            <w:tcW w:type="dxa" w:w="2340"/>
          </w:tcPr>
          <w:p>
            <w:pPr>
              <w:keepLines w:val="1"/>
              <w:keepNext w:val="1"/>
            </w:pPr>
            <w:r>
              <w:t>Prospectivo</w:t>
            </w:r>
          </w:p>
        </w:tc>
        <w:tc>
          <w:tcPr>
            <w:tcW w:type="dxa" w:w="2340"/>
          </w:tcPr>
          <w:p>
            <w:pPr>
              <w:keepLines w:val="1"/>
              <w:keepNext w:val="1"/>
            </w:pPr>
            <w:r>
              <w:t>El ENS deberá actualizarse para incluir PQC como requisito</w:t>
            </w:r>
          </w:p>
        </w:tc>
      </w:tr>
      <w:tr>
        <w:trPr>
          <w:cantSplit w:val="1"/>
        </w:trPr>
        <w:tc>
          <w:tcPr>
            <w:tcW w:type="dxa" w:w="2340"/>
          </w:tcPr>
          <w:p>
            <w:pPr>
              <w:keepLines w:val="1"/>
              <w:keepNext w:val="1"/>
            </w:pPr>
            <w:r>
              <w:t>DORA</w:t>
            </w:r>
          </w:p>
        </w:tc>
        <w:tc>
          <w:tcPr>
            <w:tcW w:type="dxa" w:w="2340"/>
          </w:tcPr>
          <w:p>
            <w:pPr>
              <w:keepLines w:val="1"/>
              <w:keepNext w:val="1"/>
            </w:pPr>
            <w:r>
              <w:t>Art. 9.4 — Robustez del cifrado a largo plazo</w:t>
            </w:r>
          </w:p>
        </w:tc>
        <w:tc>
          <w:tcPr>
            <w:tcW w:type="dxa" w:w="2340"/>
          </w:tcPr>
          <w:p>
            <w:pPr>
              <w:keepLines w:val="1"/>
              <w:keepNext w:val="1"/>
            </w:pPr>
            <w:r>
              <w:t>Prospectivo</w:t>
            </w:r>
          </w:p>
        </w:tc>
        <w:tc>
          <w:tcPr>
            <w:tcW w:type="dxa" w:w="2340"/>
          </w:tcPr>
          <w:p>
            <w:pPr>
              <w:keepLines w:val="1"/>
              <w:keepNext w:val="1"/>
            </w:pPr>
            <w:r>
              <w:t>La robustez DORA debe proyectarse al horizonte de amenaza cuántica</w:t>
            </w:r>
          </w:p>
        </w:tc>
      </w:tr>
      <w:tr>
        <w:trPr>
          <w:cantSplit w:val="1"/>
        </w:trPr>
        <w:tc>
          <w:tcPr>
            <w:tcW w:type="dxa" w:w="2340"/>
          </w:tcPr>
          <w:p>
            <w:pPr>
              <w:keepLines w:val="1"/>
              <w:keepNext w:val="1"/>
            </w:pPr>
            <w:r>
              <w:t>ENC</w:t>
            </w:r>
          </w:p>
        </w:tc>
        <w:tc>
          <w:tcPr>
            <w:tcW w:type="dxa" w:w="2340"/>
          </w:tcPr>
          <w:p>
            <w:pPr>
              <w:keepLines w:val="1"/>
              <w:keepNext w:val="1"/>
            </w:pPr>
            <w:r>
              <w:t>Eje 5 — Capacidades criptográficas nacionales</w:t>
            </w:r>
          </w:p>
        </w:tc>
        <w:tc>
          <w:tcPr>
            <w:tcW w:type="dxa" w:w="2340"/>
          </w:tcPr>
          <w:p>
            <w:pPr>
              <w:keepLines w:val="1"/>
              <w:keepNext w:val="1"/>
            </w:pPr>
            <w:r>
              <w:t>Directo</w:t>
            </w:r>
          </w:p>
        </w:tc>
        <w:tc>
          <w:tcPr>
            <w:tcW w:type="dxa" w:w="2340"/>
          </w:tcPr>
          <w:p>
            <w:pPr>
              <w:keepLines w:val="1"/>
              <w:keepNext w:val="1"/>
            </w:pPr>
            <w:r>
              <w:t>La preparación PQC es una prioridad estratégica de la ENC</w:t>
            </w:r>
          </w:p>
        </w:tc>
      </w:tr>
      <w:tr>
        <w:trPr>
          <w:cantSplit w:val="1"/>
        </w:trPr>
        <w:tc>
          <w:tcPr>
            <w:tcW w:type="dxa" w:w="2340"/>
          </w:tcPr>
          <w:p>
            <w:pPr>
              <w:keepLines w:val="1"/>
            </w:pPr>
            <w:r>
              <w:t>ENISA</w:t>
            </w:r>
          </w:p>
        </w:tc>
        <w:tc>
          <w:tcPr>
            <w:tcW w:type="dxa" w:w="2340"/>
          </w:tcPr>
          <w:p>
            <w:pPr>
              <w:keepLines w:val="1"/>
            </w:pPr>
            <w:r>
              <w:t>ENISA Post-Quantum Cryptography: Current State and Quantum Mitigation (2021)</w:t>
            </w:r>
          </w:p>
        </w:tc>
        <w:tc>
          <w:tcPr>
            <w:tcW w:type="dxa" w:w="2340"/>
          </w:tcPr>
          <w:p>
            <w:pPr>
              <w:keepLines w:val="1"/>
            </w:pPr>
            <w:r>
              <w:t>Técnico</w:t>
            </w:r>
          </w:p>
        </w:tc>
        <w:tc>
          <w:tcPr>
            <w:tcW w:type="dxa" w:w="2340"/>
          </w:tcPr>
          <w:p>
            <w:pPr>
              <w:keepLines w:val="1"/>
            </w:pPr>
            <w:r>
              <w:t>Referencia europea de estado del arte en preparación PQC</w:t>
            </w:r>
          </w:p>
        </w:tc>
      </w:tr>
    </w:tbl>
    <w:p/>
    <w:p>
      <w:r>
        <w:rPr>
          <w:b/>
        </w:rPr>
        <w:t>Goal GQM asociado:</w:t>
      </w:r>
      <w:r>
        <w:t xml:space="preserve"> G-PQC-1</w:t>
      </w:r>
      <w:r/>
      <w:r>
        <w:br/>
      </w:r>
      <w:r>
        <w:rPr>
          <w:b/>
        </w:rPr>
        <w:t>Score PRAGMATIC:</w:t>
      </w:r>
      <w:r>
        <w:t xml:space="preserve"> 3,9 / 5,0</w:t>
      </w:r>
    </w:p>
    <w:p>
      <w:pPr>
        <w:pStyle w:val="Heading2"/>
        <w:keepNext/>
        <w:keepLines/>
      </w:pPr>
      <w:r>
        <w:rPr>
          <w:color w:val="0066CC"/>
        </w:rPr>
        <w:t>INDICADORES TRANSVERSALES DE GOBERNANZA</w:t>
      </w:r>
    </w:p>
    <w:p>
      <w:pPr>
        <w:pStyle w:val="Heading3"/>
        <w:keepNext/>
        <w:keepLines/>
      </w:pPr>
      <w:r>
        <w:t>M-GOV-1.2 — IGM-CAPEC Global</w:t>
      </w:r>
    </w:p>
    <w:tbl>
      <w:tblPr>
        <w:tblStyle w:val="LightGrid-Accent1"/>
        <w:tblW w:type="auto" w:w="0"/>
        <w:tblLook w:firstColumn="1" w:firstRow="1" w:lastColumn="0" w:lastRow="0" w:noHBand="0" w:noVBand="1" w:val="04A0"/>
      </w:tblPr>
      <w:tblGrid>
        <w:gridCol w:w="2340"/>
        <w:gridCol w:w="2340"/>
        <w:gridCol w:w="2340"/>
        <w:gridCol w:w="2340"/>
      </w:tblGrid>
      <w:tr>
        <w:trPr>
          <w:cantSplit w:val="1"/>
        </w:trPr>
        <w:tc>
          <w:tcPr>
            <w:tcW w:type="dxa" w:w="2340"/>
            <w:shd w:fill="0033CC"/>
          </w:tcPr>
          <w:p>
            <w:pPr>
              <w:keepLines w:val="1"/>
              <w:keepNext w:val="1"/>
            </w:pPr>
            <w:r>
              <w:rPr>
                <w:b/>
                <w:color w:val="FFFFFF"/>
              </w:rPr>
              <w:t>Marco</w:t>
            </w:r>
          </w:p>
        </w:tc>
        <w:tc>
          <w:tcPr>
            <w:tcW w:type="dxa" w:w="2340"/>
            <w:shd w:fill="0033CC"/>
          </w:tcPr>
          <w:p>
            <w:pPr>
              <w:keepLines w:val="1"/>
              <w:keepNext w:val="1"/>
            </w:pPr>
            <w:r>
              <w:rPr>
                <w:b/>
                <w:color w:val="FFFFFF"/>
              </w:rPr>
              <w:t>Artículo / Control</w:t>
            </w:r>
          </w:p>
        </w:tc>
        <w:tc>
          <w:tcPr>
            <w:tcW w:type="dxa" w:w="2340"/>
            <w:shd w:fill="0033CC"/>
          </w:tcPr>
          <w:p>
            <w:pPr>
              <w:keepLines w:val="1"/>
              <w:keepNext w:val="1"/>
            </w:pPr>
            <w:r>
              <w:rPr>
                <w:b/>
                <w:color w:val="FFFFFF"/>
              </w:rPr>
              <w:t>Tipo de mapeo</w:t>
            </w:r>
          </w:p>
        </w:tc>
        <w:tc>
          <w:tcPr>
            <w:tcW w:type="dxa" w:w="2340"/>
            <w:shd w:fill="0033CC"/>
          </w:tcPr>
          <w:p>
            <w:pPr>
              <w:keepLines w:val="1"/>
              <w:keepNext w:val="1"/>
            </w:pPr>
            <w:r>
              <w:rPr>
                <w:b/>
                <w:color w:val="FFFFFF"/>
              </w:rPr>
              <w:t>Evidencia requerida</w:t>
            </w:r>
          </w:p>
        </w:tc>
      </w:tr>
      <w:tr>
        <w:trPr>
          <w:cantSplit w:val="1"/>
        </w:trPr>
        <w:tc>
          <w:tcPr>
            <w:tcW w:type="dxa" w:w="2340"/>
          </w:tcPr>
          <w:p>
            <w:pPr>
              <w:keepLines w:val="1"/>
              <w:keepNext w:val="1"/>
            </w:pPr>
            <w:r>
              <w:t>NIS2</w:t>
            </w:r>
          </w:p>
        </w:tc>
        <w:tc>
          <w:tcPr>
            <w:tcW w:type="dxa" w:w="2340"/>
          </w:tcPr>
          <w:p>
            <w:pPr>
              <w:keepLines w:val="1"/>
              <w:keepNext w:val="1"/>
            </w:pPr>
            <w:r>
              <w:t>Art. 20 — Gobernanza de la ciberseguridad</w:t>
            </w:r>
          </w:p>
        </w:tc>
        <w:tc>
          <w:tcPr>
            <w:tcW w:type="dxa" w:w="2340"/>
          </w:tcPr>
          <w:p>
            <w:pPr>
              <w:keepLines w:val="1"/>
              <w:keepNext w:val="1"/>
            </w:pPr>
            <w:r>
              <w:t>Directo</w:t>
            </w:r>
          </w:p>
        </w:tc>
        <w:tc>
          <w:tcPr>
            <w:tcW w:type="dxa" w:w="2340"/>
          </w:tcPr>
          <w:p>
            <w:pPr>
              <w:keepLines w:val="1"/>
              <w:keepNext w:val="1"/>
            </w:pPr>
            <w:r>
              <w:t>El IGM-CAPEC es el KPI de síntesis de la postura de seguridad para el Consejo</w:t>
            </w:r>
          </w:p>
        </w:tc>
      </w:tr>
      <w:tr>
        <w:trPr>
          <w:cantSplit w:val="1"/>
        </w:trPr>
        <w:tc>
          <w:tcPr>
            <w:tcW w:type="dxa" w:w="2340"/>
          </w:tcPr>
          <w:p>
            <w:pPr>
              <w:keepLines w:val="1"/>
              <w:keepNext w:val="1"/>
            </w:pPr>
            <w:r>
              <w:t>NIS2</w:t>
            </w:r>
          </w:p>
        </w:tc>
        <w:tc>
          <w:tcPr>
            <w:tcW w:type="dxa" w:w="2340"/>
          </w:tcPr>
          <w:p>
            <w:pPr>
              <w:keepLines w:val="1"/>
              <w:keepNext w:val="1"/>
            </w:pPr>
            <w:r>
              <w:t>Art. 21 — Medidas de gestión de riesgos</w:t>
            </w:r>
          </w:p>
        </w:tc>
        <w:tc>
          <w:tcPr>
            <w:tcW w:type="dxa" w:w="2340"/>
          </w:tcPr>
          <w:p>
            <w:pPr>
              <w:keepLines w:val="1"/>
              <w:keepNext w:val="1"/>
            </w:pPr>
            <w:r>
              <w:t>Directo</w:t>
            </w:r>
          </w:p>
        </w:tc>
        <w:tc>
          <w:tcPr>
            <w:tcW w:type="dxa" w:w="2340"/>
          </w:tcPr>
          <w:p>
            <w:pPr>
              <w:keepLines w:val="1"/>
              <w:keepNext w:val="1"/>
            </w:pPr>
            <w:r>
              <w:t>El índice agrega la efectividad de todas las medidas del Art. 21</w:t>
            </w:r>
          </w:p>
        </w:tc>
      </w:tr>
      <w:tr>
        <w:trPr>
          <w:cantSplit w:val="1"/>
        </w:trPr>
        <w:tc>
          <w:tcPr>
            <w:tcW w:type="dxa" w:w="2340"/>
          </w:tcPr>
          <w:p>
            <w:pPr>
              <w:keepLines w:val="1"/>
              <w:keepNext w:val="1"/>
            </w:pPr>
            <w:r>
              <w:t>DORA</w:t>
            </w:r>
          </w:p>
        </w:tc>
        <w:tc>
          <w:tcPr>
            <w:tcW w:type="dxa" w:w="2340"/>
          </w:tcPr>
          <w:p>
            <w:pPr>
              <w:keepLines w:val="1"/>
              <w:keepNext w:val="1"/>
            </w:pPr>
            <w:r>
              <w:t>Art. 5 — Gobernanza del riesgo TIC</w:t>
            </w:r>
          </w:p>
        </w:tc>
        <w:tc>
          <w:tcPr>
            <w:tcW w:type="dxa" w:w="2340"/>
          </w:tcPr>
          <w:p>
            <w:pPr>
              <w:keepLines w:val="1"/>
              <w:keepNext w:val="1"/>
            </w:pPr>
            <w:r>
              <w:t>Directo</w:t>
            </w:r>
          </w:p>
        </w:tc>
        <w:tc>
          <w:tcPr>
            <w:tcW w:type="dxa" w:w="2340"/>
          </w:tcPr>
          <w:p>
            <w:pPr>
              <w:keepLines w:val="1"/>
              <w:keepNext w:val="1"/>
            </w:pPr>
            <w:r>
              <w:t>DORA exige supervisión activa del Consejo; el IGM-CAPEC es el instrumento</w:t>
            </w:r>
          </w:p>
        </w:tc>
      </w:tr>
      <w:tr>
        <w:trPr>
          <w:cantSplit w:val="1"/>
        </w:trPr>
        <w:tc>
          <w:tcPr>
            <w:tcW w:type="dxa" w:w="2340"/>
          </w:tcPr>
          <w:p>
            <w:pPr>
              <w:keepLines w:val="1"/>
              <w:keepNext w:val="1"/>
            </w:pPr>
            <w:r>
              <w:t>ENS</w:t>
            </w:r>
          </w:p>
        </w:tc>
        <w:tc>
          <w:tcPr>
            <w:tcW w:type="dxa" w:w="2340"/>
          </w:tcPr>
          <w:p>
            <w:pPr>
              <w:keepLines w:val="1"/>
              <w:keepNext w:val="1"/>
            </w:pPr>
            <w:r>
              <w:t>Principio 3 — Gestión de la seguridad basada en riesgos</w:t>
            </w:r>
          </w:p>
        </w:tc>
        <w:tc>
          <w:tcPr>
            <w:tcW w:type="dxa" w:w="2340"/>
          </w:tcPr>
          <w:p>
            <w:pPr>
              <w:keepLines w:val="1"/>
              <w:keepNext w:val="1"/>
            </w:pPr>
            <w:r>
              <w:t>Directo</w:t>
            </w:r>
          </w:p>
        </w:tc>
        <w:tc>
          <w:tcPr>
            <w:tcW w:type="dxa" w:w="2340"/>
          </w:tcPr>
          <w:p>
            <w:pPr>
              <w:keepLines w:val="1"/>
              <w:keepNext w:val="1"/>
            </w:pPr>
            <w:r>
              <w:t>ENS exige gestión basada en riesgo; el IGM-CAPEC la cuantifica</w:t>
            </w:r>
          </w:p>
        </w:tc>
      </w:tr>
      <w:tr>
        <w:trPr>
          <w:cantSplit w:val="1"/>
        </w:trPr>
        <w:tc>
          <w:tcPr>
            <w:tcW w:type="dxa" w:w="2340"/>
          </w:tcPr>
          <w:p>
            <w:pPr>
              <w:keepLines w:val="1"/>
              <w:keepNext w:val="1"/>
            </w:pPr>
            <w:r>
              <w:t>ISO 27001</w:t>
            </w:r>
          </w:p>
        </w:tc>
        <w:tc>
          <w:tcPr>
            <w:tcW w:type="dxa" w:w="2340"/>
          </w:tcPr>
          <w:p>
            <w:pPr>
              <w:keepLines w:val="1"/>
              <w:keepNext w:val="1"/>
            </w:pPr>
            <w:r>
              <w:t>Cláusula 9.1 — Performance evaluation</w:t>
            </w:r>
          </w:p>
        </w:tc>
        <w:tc>
          <w:tcPr>
            <w:tcW w:type="dxa" w:w="2340"/>
          </w:tcPr>
          <w:p>
            <w:pPr>
              <w:keepLines w:val="1"/>
              <w:keepNext w:val="1"/>
            </w:pPr>
            <w:r>
              <w:t>Directo</w:t>
            </w:r>
          </w:p>
        </w:tc>
        <w:tc>
          <w:tcPr>
            <w:tcW w:type="dxa" w:w="2340"/>
          </w:tcPr>
          <w:p>
            <w:pPr>
              <w:keepLines w:val="1"/>
              <w:keepNext w:val="1"/>
            </w:pPr>
            <w:r>
              <w:t>ISO 27001 exige evaluación del rendimiento del SGSI; el IGM-CAPEC la provee</w:t>
            </w:r>
          </w:p>
        </w:tc>
      </w:tr>
      <w:tr>
        <w:trPr>
          <w:cantSplit w:val="1"/>
        </w:trPr>
        <w:tc>
          <w:tcPr>
            <w:tcW w:type="dxa" w:w="2340"/>
          </w:tcPr>
          <w:p>
            <w:pPr>
              <w:keepLines w:val="1"/>
              <w:keepNext w:val="1"/>
            </w:pPr>
            <w:r>
              <w:t>NIST CSF 2.0</w:t>
            </w:r>
          </w:p>
        </w:tc>
        <w:tc>
          <w:tcPr>
            <w:tcW w:type="dxa" w:w="2340"/>
          </w:tcPr>
          <w:p>
            <w:pPr>
              <w:keepLines w:val="1"/>
              <w:keepNext w:val="1"/>
            </w:pPr>
            <w:r>
              <w:t>GV — Govern function (nuevo en CSF 2.0)</w:t>
            </w:r>
          </w:p>
        </w:tc>
        <w:tc>
          <w:tcPr>
            <w:tcW w:type="dxa" w:w="2340"/>
          </w:tcPr>
          <w:p>
            <w:pPr>
              <w:keepLines w:val="1"/>
              <w:keepNext w:val="1"/>
            </w:pPr>
            <w:r>
              <w:t>Directo</w:t>
            </w:r>
          </w:p>
        </w:tc>
        <w:tc>
          <w:tcPr>
            <w:tcW w:type="dxa" w:w="2340"/>
          </w:tcPr>
          <w:p>
            <w:pPr>
              <w:keepLines w:val="1"/>
              <w:keepNext w:val="1"/>
            </w:pPr>
            <w:r>
              <w:t>La función Govern del CSF 2.0 se basa en métricas de madurez como el IGM-CAPEC</w:t>
            </w:r>
          </w:p>
        </w:tc>
      </w:tr>
      <w:tr>
        <w:trPr>
          <w:cantSplit w:val="1"/>
        </w:trPr>
        <w:tc>
          <w:tcPr>
            <w:tcW w:type="dxa" w:w="2340"/>
          </w:tcPr>
          <w:p>
            <w:pPr>
              <w:keepLines w:val="1"/>
              <w:keepNext w:val="1"/>
            </w:pPr>
            <w:r>
              <w:t>NIST SP 800-55</w:t>
            </w:r>
          </w:p>
        </w:tc>
        <w:tc>
          <w:tcPr>
            <w:tcW w:type="dxa" w:w="2340"/>
          </w:tcPr>
          <w:p>
            <w:pPr>
              <w:keepLines w:val="1"/>
              <w:keepNext w:val="1"/>
            </w:pPr>
            <w:r>
              <w:t>Program Effectiveness Measures</w:t>
            </w:r>
          </w:p>
        </w:tc>
        <w:tc>
          <w:tcPr>
            <w:tcW w:type="dxa" w:w="2340"/>
          </w:tcPr>
          <w:p>
            <w:pPr>
              <w:keepLines w:val="1"/>
              <w:keepNext w:val="1"/>
            </w:pPr>
            <w:r>
              <w:t>Metodológico</w:t>
            </w:r>
          </w:p>
        </w:tc>
        <w:tc>
          <w:tcPr>
            <w:tcW w:type="dxa" w:w="2340"/>
          </w:tcPr>
          <w:p>
            <w:pPr>
              <w:keepLines w:val="1"/>
              <w:keepNext w:val="1"/>
            </w:pPr>
            <w:r>
              <w:t>SP 800-55 define indicadores compuestos de efectividad del programa de seguridad</w:t>
            </w:r>
          </w:p>
        </w:tc>
      </w:tr>
      <w:tr>
        <w:trPr>
          <w:cantSplit w:val="1"/>
        </w:trPr>
        <w:tc>
          <w:tcPr>
            <w:tcW w:type="dxa" w:w="2340"/>
          </w:tcPr>
          <w:p>
            <w:pPr>
              <w:keepLines w:val="1"/>
            </w:pPr>
            <w:r>
              <w:t>LCyGC</w:t>
            </w:r>
          </w:p>
        </w:tc>
        <w:tc>
          <w:tcPr>
            <w:tcW w:type="dxa" w:w="2340"/>
          </w:tcPr>
          <w:p>
            <w:pPr>
              <w:keepLines w:val="1"/>
            </w:pPr>
            <w:r>
              <w:t>CNC — Seguimiento del estado de ciberseguridad nacional</w:t>
            </w:r>
          </w:p>
        </w:tc>
        <w:tc>
          <w:tcPr>
            <w:tcW w:type="dxa" w:w="2340"/>
          </w:tcPr>
          <w:p>
            <w:pPr>
              <w:keepLines w:val="1"/>
            </w:pPr>
            <w:r>
              <w:t>Nacional</w:t>
            </w:r>
          </w:p>
        </w:tc>
        <w:tc>
          <w:tcPr>
            <w:tcW w:type="dxa" w:w="2340"/>
          </w:tcPr>
          <w:p>
            <w:pPr>
              <w:keepLines w:val="1"/>
            </w:pPr>
            <w:r>
              <w:t>El IGM-CAPEC puede convertirse en el indicador de referencia del CNC</w:t>
            </w:r>
          </w:p>
        </w:tc>
      </w:tr>
    </w:tbl>
    <w:p/>
    <w:p>
      <w:r>
        <w:rPr>
          <w:b/>
        </w:rPr>
        <w:t>Goal GQM asociado:</w:t>
      </w:r>
      <w:r>
        <w:t xml:space="preserve"> G-GOV-1</w:t>
      </w:r>
      <w:r/>
      <w:r>
        <w:br/>
      </w:r>
      <w:r>
        <w:rPr>
          <w:b/>
        </w:rPr>
        <w:t>Score PRAGMATIC:</w:t>
      </w:r>
      <w:r>
        <w:t xml:space="preserve"> 3,8 / 5,0</w:t>
      </w:r>
    </w:p>
    <w:p>
      <w:pPr>
        <w:pStyle w:val="Heading2"/>
        <w:keepNext/>
        <w:keepLines/>
      </w:pPr>
      <w:r>
        <w:rPr>
          <w:color w:val="0066CC"/>
        </w:rPr>
        <w:t>TABLA CONSOLIDADA DE COBERTURA NORMATIVA POR MÉTRICA</w:t>
      </w:r>
    </w:p>
    <w:tbl>
      <w:tblPr>
        <w:tblStyle w:val="LightGrid-Accent1"/>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rPr>
          <w:cantSplit w:val="1"/>
        </w:trPr>
        <w:tc>
          <w:tcPr>
            <w:tcW w:type="dxa" w:w="1040"/>
            <w:shd w:fill="0033CC"/>
          </w:tcPr>
          <w:p>
            <w:pPr>
              <w:keepLines w:val="1"/>
              <w:keepNext w:val="1"/>
            </w:pPr>
            <w:r>
              <w:rPr>
                <w:b/>
                <w:color w:val="FFFFFF"/>
              </w:rPr>
              <w:t>Métrica</w:t>
            </w:r>
          </w:p>
        </w:tc>
        <w:tc>
          <w:tcPr>
            <w:tcW w:type="dxa" w:w="1040"/>
            <w:shd w:fill="0033CC"/>
          </w:tcPr>
          <w:p>
            <w:pPr>
              <w:keepLines w:val="1"/>
              <w:keepNext w:val="1"/>
            </w:pPr>
            <w:r>
              <w:rPr>
                <w:b/>
                <w:color w:val="FFFFFF"/>
              </w:rPr>
              <w:t>NIS2</w:t>
            </w:r>
          </w:p>
        </w:tc>
        <w:tc>
          <w:tcPr>
            <w:tcW w:type="dxa" w:w="1040"/>
            <w:shd w:fill="0033CC"/>
          </w:tcPr>
          <w:p>
            <w:pPr>
              <w:keepLines w:val="1"/>
              <w:keepNext w:val="1"/>
            </w:pPr>
            <w:r>
              <w:rPr>
                <w:b/>
                <w:color w:val="FFFFFF"/>
              </w:rPr>
              <w:t>ENS</w:t>
            </w:r>
          </w:p>
        </w:tc>
        <w:tc>
          <w:tcPr>
            <w:tcW w:type="dxa" w:w="1040"/>
            <w:shd w:fill="0033CC"/>
          </w:tcPr>
          <w:p>
            <w:pPr>
              <w:keepLines w:val="1"/>
              <w:keepNext w:val="1"/>
            </w:pPr>
            <w:r>
              <w:rPr>
                <w:b/>
                <w:color w:val="FFFFFF"/>
              </w:rPr>
              <w:t>DORA</w:t>
            </w:r>
          </w:p>
        </w:tc>
        <w:tc>
          <w:tcPr>
            <w:tcW w:type="dxa" w:w="1040"/>
            <w:shd w:fill="0033CC"/>
          </w:tcPr>
          <w:p>
            <w:pPr>
              <w:keepLines w:val="1"/>
              <w:keepNext w:val="1"/>
            </w:pPr>
            <w:r>
              <w:rPr>
                <w:b/>
                <w:color w:val="FFFFFF"/>
              </w:rPr>
              <w:t>ISO 27001</w:t>
            </w:r>
          </w:p>
        </w:tc>
        <w:tc>
          <w:tcPr>
            <w:tcW w:type="dxa" w:w="1040"/>
            <w:shd w:fill="0033CC"/>
          </w:tcPr>
          <w:p>
            <w:pPr>
              <w:keepLines w:val="1"/>
              <w:keepNext w:val="1"/>
            </w:pPr>
            <w:r>
              <w:rPr>
                <w:b/>
                <w:color w:val="FFFFFF"/>
              </w:rPr>
              <w:t>NIST CSF</w:t>
            </w:r>
          </w:p>
        </w:tc>
        <w:tc>
          <w:tcPr>
            <w:tcW w:type="dxa" w:w="1040"/>
            <w:shd w:fill="0033CC"/>
          </w:tcPr>
          <w:p>
            <w:pPr>
              <w:keepLines w:val="1"/>
              <w:keepNext w:val="1"/>
            </w:pPr>
            <w:r>
              <w:rPr>
                <w:b/>
                <w:color w:val="FFFFFF"/>
              </w:rPr>
              <w:t>NIST SP800</w:t>
            </w:r>
          </w:p>
        </w:tc>
        <w:tc>
          <w:tcPr>
            <w:tcW w:type="dxa" w:w="1040"/>
            <w:shd w:fill="0033CC"/>
          </w:tcPr>
          <w:p>
            <w:pPr>
              <w:keepLines w:val="1"/>
              <w:keepNext w:val="1"/>
            </w:pPr>
            <w:r>
              <w:rPr>
                <w:b/>
                <w:color w:val="FFFFFF"/>
              </w:rPr>
              <w:t>AI/PQC</w:t>
            </w:r>
          </w:p>
        </w:tc>
        <w:tc>
          <w:tcPr>
            <w:tcW w:type="dxa" w:w="1040"/>
            <w:shd w:fill="0033CC"/>
          </w:tcPr>
          <w:p>
            <w:pPr>
              <w:keepLines w:val="1"/>
              <w:keepNext w:val="1"/>
            </w:pPr>
            <w:r>
              <w:rPr>
                <w:b/>
                <w:color w:val="FFFFFF"/>
              </w:rPr>
              <w:t>Score PRAG.</w:t>
            </w:r>
          </w:p>
        </w:tc>
      </w:tr>
      <w:tr>
        <w:trPr>
          <w:cantSplit w:val="1"/>
        </w:trPr>
        <w:tc>
          <w:tcPr>
            <w:tcW w:type="dxa" w:w="1040"/>
          </w:tcPr>
          <w:p>
            <w:pPr>
              <w:keepLines w:val="1"/>
              <w:keepNext w:val="1"/>
            </w:pPr>
            <w:r>
              <w:t>M-SW-1.1</w:t>
            </w:r>
          </w:p>
        </w:tc>
        <w:tc>
          <w:tcPr>
            <w:tcW w:type="dxa" w:w="1040"/>
          </w:tcPr>
          <w:p>
            <w:pPr>
              <w:keepLines w:val="1"/>
              <w:keepNext w:val="1"/>
            </w:pPr>
            <w:r>
              <w:t>✅</w:t>
            </w:r>
          </w:p>
        </w:tc>
        <w:tc>
          <w:tcPr>
            <w:tcW w:type="dxa" w:w="1040"/>
          </w:tcPr>
          <w:p>
            <w:pPr>
              <w:keepLines w:val="1"/>
              <w:keepNext w:val="1"/>
            </w:pPr>
            <w:r>
              <w:t>✅</w:t>
            </w:r>
          </w:p>
        </w:tc>
        <w:tc>
          <w:tcPr>
            <w:tcW w:type="dxa" w:w="1040"/>
          </w:tcPr>
          <w:p>
            <w:pPr>
              <w:keepLines w:val="1"/>
              <w:keepNext w:val="1"/>
            </w:pPr>
            <w:r>
              <w:t>—</w:t>
            </w:r>
          </w:p>
        </w:tc>
        <w:tc>
          <w:tcPr>
            <w:tcW w:type="dxa" w:w="1040"/>
          </w:tcPr>
          <w:p>
            <w:pPr>
              <w:keepLines w:val="1"/>
              <w:keepNext w:val="1"/>
            </w:pPr>
            <w:r>
              <w:t>✅</w:t>
            </w:r>
          </w:p>
        </w:tc>
        <w:tc>
          <w:tcPr>
            <w:tcW w:type="dxa" w:w="1040"/>
          </w:tcPr>
          <w:p>
            <w:pPr>
              <w:keepLines w:val="1"/>
              <w:keepNext w:val="1"/>
            </w:pPr>
            <w:r>
              <w:t>✅</w:t>
            </w:r>
          </w:p>
        </w:tc>
        <w:tc>
          <w:tcPr>
            <w:tcW w:type="dxa" w:w="1040"/>
          </w:tcPr>
          <w:p>
            <w:pPr>
              <w:keepLines w:val="1"/>
              <w:keepNext w:val="1"/>
            </w:pPr>
            <w:r>
              <w:t>800-55</w:t>
            </w:r>
          </w:p>
        </w:tc>
        <w:tc>
          <w:tcPr>
            <w:tcW w:type="dxa" w:w="1040"/>
          </w:tcPr>
          <w:p>
            <w:pPr>
              <w:keepLines w:val="1"/>
              <w:keepNext w:val="1"/>
            </w:pPr>
            <w:r>
              <w:t>—</w:t>
            </w:r>
          </w:p>
        </w:tc>
        <w:tc>
          <w:tcPr>
            <w:tcW w:type="dxa" w:w="1040"/>
          </w:tcPr>
          <w:p>
            <w:pPr>
              <w:keepLines w:val="1"/>
              <w:keepNext w:val="1"/>
            </w:pPr>
            <w:r>
              <w:t>3,9</w:t>
            </w:r>
          </w:p>
        </w:tc>
      </w:tr>
      <w:tr>
        <w:trPr>
          <w:cantSplit w:val="1"/>
        </w:trPr>
        <w:tc>
          <w:tcPr>
            <w:tcW w:type="dxa" w:w="1040"/>
          </w:tcPr>
          <w:p>
            <w:pPr>
              <w:keepLines w:val="1"/>
              <w:keepNext w:val="1"/>
            </w:pPr>
            <w:r>
              <w:t>M-SW-1.2</w:t>
            </w:r>
          </w:p>
        </w:tc>
        <w:tc>
          <w:tcPr>
            <w:tcW w:type="dxa" w:w="1040"/>
          </w:tcPr>
          <w:p>
            <w:pPr>
              <w:keepLines w:val="1"/>
              <w:keepNext w:val="1"/>
            </w:pPr>
            <w:r>
              <w:t>✅</w:t>
            </w:r>
          </w:p>
        </w:tc>
        <w:tc>
          <w:tcPr>
            <w:tcW w:type="dxa" w:w="1040"/>
          </w:tcPr>
          <w:p>
            <w:pPr>
              <w:keepLines w:val="1"/>
              <w:keepNext w:val="1"/>
            </w:pPr>
            <w:r>
              <w:t>✅</w:t>
            </w:r>
          </w:p>
        </w:tc>
        <w:tc>
          <w:tcPr>
            <w:tcW w:type="dxa" w:w="1040"/>
          </w:tcPr>
          <w:p>
            <w:pPr>
              <w:keepLines w:val="1"/>
              <w:keepNext w:val="1"/>
            </w:pPr>
            <w:r>
              <w:t>✅</w:t>
            </w:r>
          </w:p>
        </w:tc>
        <w:tc>
          <w:tcPr>
            <w:tcW w:type="dxa" w:w="1040"/>
          </w:tcPr>
          <w:p>
            <w:pPr>
              <w:keepLines w:val="1"/>
              <w:keepNext w:val="1"/>
            </w:pPr>
            <w:r>
              <w:t>✅</w:t>
            </w:r>
          </w:p>
        </w:tc>
        <w:tc>
          <w:tcPr>
            <w:tcW w:type="dxa" w:w="1040"/>
          </w:tcPr>
          <w:p>
            <w:pPr>
              <w:keepLines w:val="1"/>
              <w:keepNext w:val="1"/>
            </w:pPr>
            <w:r>
              <w:t>✅</w:t>
            </w:r>
          </w:p>
        </w:tc>
        <w:tc>
          <w:tcPr>
            <w:tcW w:type="dxa" w:w="1040"/>
          </w:tcPr>
          <w:p>
            <w:pPr>
              <w:keepLines w:val="1"/>
              <w:keepNext w:val="1"/>
            </w:pPr>
            <w:r>
              <w:t>800-55</w:t>
            </w:r>
          </w:p>
        </w:tc>
        <w:tc>
          <w:tcPr>
            <w:tcW w:type="dxa" w:w="1040"/>
          </w:tcPr>
          <w:p>
            <w:pPr>
              <w:keepLines w:val="1"/>
              <w:keepNext w:val="1"/>
            </w:pPr>
            <w:r>
              <w:t>—</w:t>
            </w:r>
          </w:p>
        </w:tc>
        <w:tc>
          <w:tcPr>
            <w:tcW w:type="dxa" w:w="1040"/>
          </w:tcPr>
          <w:p>
            <w:pPr>
              <w:keepLines w:val="1"/>
              <w:keepNext w:val="1"/>
            </w:pPr>
            <w:r>
              <w:t>4,7</w:t>
            </w:r>
          </w:p>
        </w:tc>
      </w:tr>
      <w:tr>
        <w:trPr>
          <w:cantSplit w:val="1"/>
        </w:trPr>
        <w:tc>
          <w:tcPr>
            <w:tcW w:type="dxa" w:w="1040"/>
          </w:tcPr>
          <w:p>
            <w:pPr>
              <w:keepLines w:val="1"/>
              <w:keepNext w:val="1"/>
            </w:pPr>
            <w:r>
              <w:t>M-SW-1.3</w:t>
            </w:r>
          </w:p>
        </w:tc>
        <w:tc>
          <w:tcPr>
            <w:tcW w:type="dxa" w:w="1040"/>
          </w:tcPr>
          <w:p>
            <w:pPr>
              <w:keepLines w:val="1"/>
              <w:keepNext w:val="1"/>
            </w:pPr>
            <w:r>
              <w:t>✅</w:t>
            </w:r>
          </w:p>
        </w:tc>
        <w:tc>
          <w:tcPr>
            <w:tcW w:type="dxa" w:w="1040"/>
          </w:tcPr>
          <w:p>
            <w:pPr>
              <w:keepLines w:val="1"/>
              <w:keepNext w:val="1"/>
            </w:pPr>
            <w:r>
              <w:t>✅</w:t>
            </w:r>
          </w:p>
        </w:tc>
        <w:tc>
          <w:tcPr>
            <w:tcW w:type="dxa" w:w="1040"/>
          </w:tcPr>
          <w:p>
            <w:pPr>
              <w:keepLines w:val="1"/>
              <w:keepNext w:val="1"/>
            </w:pPr>
            <w:r>
              <w:t>✅</w:t>
            </w:r>
          </w:p>
        </w:tc>
        <w:tc>
          <w:tcPr>
            <w:tcW w:type="dxa" w:w="1040"/>
          </w:tcPr>
          <w:p>
            <w:pPr>
              <w:keepLines w:val="1"/>
              <w:keepNext w:val="1"/>
            </w:pPr>
            <w:r>
              <w:t>✅</w:t>
            </w:r>
          </w:p>
        </w:tc>
        <w:tc>
          <w:tcPr>
            <w:tcW w:type="dxa" w:w="1040"/>
          </w:tcPr>
          <w:p>
            <w:pPr>
              <w:keepLines w:val="1"/>
              <w:keepNext w:val="1"/>
            </w:pPr>
            <w:r>
              <w:t>✅</w:t>
            </w:r>
          </w:p>
        </w:tc>
        <w:tc>
          <w:tcPr>
            <w:tcW w:type="dxa" w:w="1040"/>
          </w:tcPr>
          <w:p>
            <w:pPr>
              <w:keepLines w:val="1"/>
              <w:keepNext w:val="1"/>
            </w:pPr>
            <w:r>
              <w:t>800-40</w:t>
            </w:r>
          </w:p>
        </w:tc>
        <w:tc>
          <w:tcPr>
            <w:tcW w:type="dxa" w:w="1040"/>
          </w:tcPr>
          <w:p>
            <w:pPr>
              <w:keepLines w:val="1"/>
              <w:keepNext w:val="1"/>
            </w:pPr>
            <w:r>
              <w:t>—</w:t>
            </w:r>
          </w:p>
        </w:tc>
        <w:tc>
          <w:tcPr>
            <w:tcW w:type="dxa" w:w="1040"/>
          </w:tcPr>
          <w:p>
            <w:pPr>
              <w:keepLines w:val="1"/>
              <w:keepNext w:val="1"/>
            </w:pPr>
            <w:r>
              <w:t>4,3</w:t>
            </w:r>
          </w:p>
        </w:tc>
      </w:tr>
      <w:tr>
        <w:trPr>
          <w:cantSplit w:val="1"/>
        </w:trPr>
        <w:tc>
          <w:tcPr>
            <w:tcW w:type="dxa" w:w="1040"/>
          </w:tcPr>
          <w:p>
            <w:pPr>
              <w:keepLines w:val="1"/>
              <w:keepNext w:val="1"/>
            </w:pPr>
            <w:r>
              <w:t>M-SW-2.1</w:t>
            </w:r>
          </w:p>
        </w:tc>
        <w:tc>
          <w:tcPr>
            <w:tcW w:type="dxa" w:w="1040"/>
          </w:tcPr>
          <w:p>
            <w:pPr>
              <w:keepLines w:val="1"/>
              <w:keepNext w:val="1"/>
            </w:pPr>
            <w:r>
              <w:t>✅</w:t>
            </w:r>
          </w:p>
        </w:tc>
        <w:tc>
          <w:tcPr>
            <w:tcW w:type="dxa" w:w="1040"/>
          </w:tcPr>
          <w:p>
            <w:pPr>
              <w:keepLines w:val="1"/>
              <w:keepNext w:val="1"/>
            </w:pPr>
            <w:r>
              <w:t>✅</w:t>
            </w:r>
          </w:p>
        </w:tc>
        <w:tc>
          <w:tcPr>
            <w:tcW w:type="dxa" w:w="1040"/>
          </w:tcPr>
          <w:p>
            <w:pPr>
              <w:keepLines w:val="1"/>
              <w:keepNext w:val="1"/>
            </w:pPr>
            <w:r>
              <w:t>—</w:t>
            </w:r>
          </w:p>
        </w:tc>
        <w:tc>
          <w:tcPr>
            <w:tcW w:type="dxa" w:w="1040"/>
          </w:tcPr>
          <w:p>
            <w:pPr>
              <w:keepLines w:val="1"/>
              <w:keepNext w:val="1"/>
            </w:pPr>
            <w:r>
              <w:t>✅</w:t>
            </w:r>
          </w:p>
        </w:tc>
        <w:tc>
          <w:tcPr>
            <w:tcW w:type="dxa" w:w="1040"/>
          </w:tcPr>
          <w:p>
            <w:pPr>
              <w:keepLines w:val="1"/>
              <w:keepNext w:val="1"/>
            </w:pPr>
            <w:r>
              <w:t>✅</w:t>
            </w:r>
          </w:p>
        </w:tc>
        <w:tc>
          <w:tcPr>
            <w:tcW w:type="dxa" w:w="1040"/>
          </w:tcPr>
          <w:p>
            <w:pPr>
              <w:keepLines w:val="1"/>
              <w:keepNext w:val="1"/>
            </w:pPr>
            <w:r>
              <w:t>SSDF</w:t>
            </w:r>
          </w:p>
        </w:tc>
        <w:tc>
          <w:tcPr>
            <w:tcW w:type="dxa" w:w="1040"/>
          </w:tcPr>
          <w:p>
            <w:pPr>
              <w:keepLines w:val="1"/>
              <w:keepNext w:val="1"/>
            </w:pPr>
            <w:r>
              <w:t>—</w:t>
            </w:r>
          </w:p>
        </w:tc>
        <w:tc>
          <w:tcPr>
            <w:tcW w:type="dxa" w:w="1040"/>
          </w:tcPr>
          <w:p>
            <w:pPr>
              <w:keepLines w:val="1"/>
              <w:keepNext w:val="1"/>
            </w:pPr>
            <w:r>
              <w:t>4,2</w:t>
            </w:r>
          </w:p>
        </w:tc>
      </w:tr>
      <w:tr>
        <w:trPr>
          <w:cantSplit w:val="1"/>
        </w:trPr>
        <w:tc>
          <w:tcPr>
            <w:tcW w:type="dxa" w:w="1040"/>
          </w:tcPr>
          <w:p>
            <w:pPr>
              <w:keepLines w:val="1"/>
              <w:keepNext w:val="1"/>
            </w:pPr>
            <w:r>
              <w:t>M-IS-1.1</w:t>
            </w:r>
          </w:p>
        </w:tc>
        <w:tc>
          <w:tcPr>
            <w:tcW w:type="dxa" w:w="1040"/>
          </w:tcPr>
          <w:p>
            <w:pPr>
              <w:keepLines w:val="1"/>
              <w:keepNext w:val="1"/>
            </w:pPr>
            <w:r>
              <w:t>✅</w:t>
            </w:r>
          </w:p>
        </w:tc>
        <w:tc>
          <w:tcPr>
            <w:tcW w:type="dxa" w:w="1040"/>
          </w:tcPr>
          <w:p>
            <w:pPr>
              <w:keepLines w:val="1"/>
              <w:keepNext w:val="1"/>
            </w:pPr>
            <w:r>
              <w:t>✅</w:t>
            </w:r>
          </w:p>
        </w:tc>
        <w:tc>
          <w:tcPr>
            <w:tcW w:type="dxa" w:w="1040"/>
          </w:tcPr>
          <w:p>
            <w:pPr>
              <w:keepLines w:val="1"/>
              <w:keepNext w:val="1"/>
            </w:pPr>
            <w:r>
              <w:t>✅</w:t>
            </w:r>
          </w:p>
        </w:tc>
        <w:tc>
          <w:tcPr>
            <w:tcW w:type="dxa" w:w="1040"/>
          </w:tcPr>
          <w:p>
            <w:pPr>
              <w:keepLines w:val="1"/>
              <w:keepNext w:val="1"/>
            </w:pPr>
            <w:r>
              <w:t>✅</w:t>
            </w:r>
          </w:p>
        </w:tc>
        <w:tc>
          <w:tcPr>
            <w:tcW w:type="dxa" w:w="1040"/>
          </w:tcPr>
          <w:p>
            <w:pPr>
              <w:keepLines w:val="1"/>
              <w:keepNext w:val="1"/>
            </w:pPr>
            <w:r>
              <w:t>✅</w:t>
            </w:r>
          </w:p>
        </w:tc>
        <w:tc>
          <w:tcPr>
            <w:tcW w:type="dxa" w:w="1040"/>
          </w:tcPr>
          <w:p>
            <w:pPr>
              <w:keepLines w:val="1"/>
              <w:keepNext w:val="1"/>
            </w:pPr>
            <w:r>
              <w:t>800-55</w:t>
            </w:r>
          </w:p>
        </w:tc>
        <w:tc>
          <w:tcPr>
            <w:tcW w:type="dxa" w:w="1040"/>
          </w:tcPr>
          <w:p>
            <w:pPr>
              <w:keepLines w:val="1"/>
              <w:keepNext w:val="1"/>
            </w:pPr>
            <w:r>
              <w:t>—</w:t>
            </w:r>
          </w:p>
        </w:tc>
        <w:tc>
          <w:tcPr>
            <w:tcW w:type="dxa" w:w="1040"/>
          </w:tcPr>
          <w:p>
            <w:pPr>
              <w:keepLines w:val="1"/>
              <w:keepNext w:val="1"/>
            </w:pPr>
            <w:r>
              <w:t>4,3</w:t>
            </w:r>
          </w:p>
        </w:tc>
      </w:tr>
      <w:tr>
        <w:trPr>
          <w:cantSplit w:val="1"/>
        </w:trPr>
        <w:tc>
          <w:tcPr>
            <w:tcW w:type="dxa" w:w="1040"/>
          </w:tcPr>
          <w:p>
            <w:pPr>
              <w:keepLines w:val="1"/>
              <w:keepNext w:val="1"/>
            </w:pPr>
            <w:r>
              <w:t>M-IS-1.2</w:t>
            </w:r>
          </w:p>
        </w:tc>
        <w:tc>
          <w:tcPr>
            <w:tcW w:type="dxa" w:w="1040"/>
          </w:tcPr>
          <w:p>
            <w:pPr>
              <w:keepLines w:val="1"/>
              <w:keepNext w:val="1"/>
            </w:pPr>
            <w:r>
              <w:t>✅</w:t>
            </w:r>
          </w:p>
        </w:tc>
        <w:tc>
          <w:tcPr>
            <w:tcW w:type="dxa" w:w="1040"/>
          </w:tcPr>
          <w:p>
            <w:pPr>
              <w:keepLines w:val="1"/>
              <w:keepNext w:val="1"/>
            </w:pPr>
            <w:r>
              <w:t>✅</w:t>
            </w:r>
          </w:p>
        </w:tc>
        <w:tc>
          <w:tcPr>
            <w:tcW w:type="dxa" w:w="1040"/>
          </w:tcPr>
          <w:p>
            <w:pPr>
              <w:keepLines w:val="1"/>
              <w:keepNext w:val="1"/>
            </w:pPr>
            <w:r>
              <w:t>✅</w:t>
            </w:r>
          </w:p>
        </w:tc>
        <w:tc>
          <w:tcPr>
            <w:tcW w:type="dxa" w:w="1040"/>
          </w:tcPr>
          <w:p>
            <w:pPr>
              <w:keepLines w:val="1"/>
              <w:keepNext w:val="1"/>
            </w:pPr>
            <w:r>
              <w:t>✅</w:t>
            </w:r>
          </w:p>
        </w:tc>
        <w:tc>
          <w:tcPr>
            <w:tcW w:type="dxa" w:w="1040"/>
          </w:tcPr>
          <w:p>
            <w:pPr>
              <w:keepLines w:val="1"/>
              <w:keepNext w:val="1"/>
            </w:pPr>
            <w:r>
              <w:t>✅</w:t>
            </w:r>
          </w:p>
        </w:tc>
        <w:tc>
          <w:tcPr>
            <w:tcW w:type="dxa" w:w="1040"/>
          </w:tcPr>
          <w:p>
            <w:pPr>
              <w:keepLines w:val="1"/>
              <w:keepNext w:val="1"/>
            </w:pPr>
            <w:r>
              <w:t>—</w:t>
            </w:r>
          </w:p>
        </w:tc>
        <w:tc>
          <w:tcPr>
            <w:tcW w:type="dxa" w:w="1040"/>
          </w:tcPr>
          <w:p>
            <w:pPr>
              <w:keepLines w:val="1"/>
              <w:keepNext w:val="1"/>
            </w:pPr>
            <w:r>
              <w:t>—</w:t>
            </w:r>
          </w:p>
        </w:tc>
        <w:tc>
          <w:tcPr>
            <w:tcW w:type="dxa" w:w="1040"/>
          </w:tcPr>
          <w:p>
            <w:pPr>
              <w:keepLines w:val="1"/>
              <w:keepNext w:val="1"/>
            </w:pPr>
            <w:r>
              <w:t>3,6</w:t>
            </w:r>
          </w:p>
        </w:tc>
      </w:tr>
      <w:tr>
        <w:trPr>
          <w:cantSplit w:val="1"/>
        </w:trPr>
        <w:tc>
          <w:tcPr>
            <w:tcW w:type="dxa" w:w="1040"/>
          </w:tcPr>
          <w:p>
            <w:pPr>
              <w:keepLines w:val="1"/>
              <w:keepNext w:val="1"/>
            </w:pPr>
            <w:r>
              <w:t>M-IS-1.3</w:t>
            </w:r>
          </w:p>
        </w:tc>
        <w:tc>
          <w:tcPr>
            <w:tcW w:type="dxa" w:w="1040"/>
          </w:tcPr>
          <w:p>
            <w:pPr>
              <w:keepLines w:val="1"/>
              <w:keepNext w:val="1"/>
            </w:pPr>
            <w:r>
              <w:t>✅</w:t>
            </w:r>
          </w:p>
        </w:tc>
        <w:tc>
          <w:tcPr>
            <w:tcW w:type="dxa" w:w="1040"/>
          </w:tcPr>
          <w:p>
            <w:pPr>
              <w:keepLines w:val="1"/>
              <w:keepNext w:val="1"/>
            </w:pPr>
            <w:r>
              <w:t>✅</w:t>
            </w:r>
          </w:p>
        </w:tc>
        <w:tc>
          <w:tcPr>
            <w:tcW w:type="dxa" w:w="1040"/>
          </w:tcPr>
          <w:p>
            <w:pPr>
              <w:keepLines w:val="1"/>
              <w:keepNext w:val="1"/>
            </w:pPr>
            <w:r>
              <w:t>✅</w:t>
            </w:r>
          </w:p>
        </w:tc>
        <w:tc>
          <w:tcPr>
            <w:tcW w:type="dxa" w:w="1040"/>
          </w:tcPr>
          <w:p>
            <w:pPr>
              <w:keepLines w:val="1"/>
              <w:keepNext w:val="1"/>
            </w:pPr>
            <w:r>
              <w:t>✅</w:t>
            </w:r>
          </w:p>
        </w:tc>
        <w:tc>
          <w:tcPr>
            <w:tcW w:type="dxa" w:w="1040"/>
          </w:tcPr>
          <w:p>
            <w:pPr>
              <w:keepLines w:val="1"/>
              <w:keepNext w:val="1"/>
            </w:pPr>
            <w:r>
              <w:t>✅</w:t>
            </w:r>
          </w:p>
        </w:tc>
        <w:tc>
          <w:tcPr>
            <w:tcW w:type="dxa" w:w="1040"/>
          </w:tcPr>
          <w:p>
            <w:pPr>
              <w:keepLines w:val="1"/>
              <w:keepNext w:val="1"/>
            </w:pPr>
            <w:r>
              <w:t>800-55</w:t>
            </w:r>
          </w:p>
        </w:tc>
        <w:tc>
          <w:tcPr>
            <w:tcW w:type="dxa" w:w="1040"/>
          </w:tcPr>
          <w:p>
            <w:pPr>
              <w:keepLines w:val="1"/>
              <w:keepNext w:val="1"/>
            </w:pPr>
            <w:r>
              <w:t>—</w:t>
            </w:r>
          </w:p>
        </w:tc>
        <w:tc>
          <w:tcPr>
            <w:tcW w:type="dxa" w:w="1040"/>
          </w:tcPr>
          <w:p>
            <w:pPr>
              <w:keepLines w:val="1"/>
              <w:keepNext w:val="1"/>
            </w:pPr>
            <w:r>
              <w:t>4,3</w:t>
            </w:r>
          </w:p>
        </w:tc>
      </w:tr>
      <w:tr>
        <w:trPr>
          <w:cantSplit w:val="1"/>
        </w:trPr>
        <w:tc>
          <w:tcPr>
            <w:tcW w:type="dxa" w:w="1040"/>
          </w:tcPr>
          <w:p>
            <w:pPr>
              <w:keepLines w:val="1"/>
              <w:keepNext w:val="1"/>
            </w:pPr>
            <w:r>
              <w:t>M-SC-1.1</w:t>
            </w:r>
          </w:p>
        </w:tc>
        <w:tc>
          <w:tcPr>
            <w:tcW w:type="dxa" w:w="1040"/>
          </w:tcPr>
          <w:p>
            <w:pPr>
              <w:keepLines w:val="1"/>
              <w:keepNext w:val="1"/>
            </w:pPr>
            <w:r>
              <w:t>✅</w:t>
            </w:r>
          </w:p>
        </w:tc>
        <w:tc>
          <w:tcPr>
            <w:tcW w:type="dxa" w:w="1040"/>
          </w:tcPr>
          <w:p>
            <w:pPr>
              <w:keepLines w:val="1"/>
              <w:keepNext w:val="1"/>
            </w:pPr>
            <w:r>
              <w:t>✅</w:t>
            </w:r>
          </w:p>
        </w:tc>
        <w:tc>
          <w:tcPr>
            <w:tcW w:type="dxa" w:w="1040"/>
          </w:tcPr>
          <w:p>
            <w:pPr>
              <w:keepLines w:val="1"/>
              <w:keepNext w:val="1"/>
            </w:pPr>
            <w:r>
              <w:t>✅</w:t>
            </w:r>
          </w:p>
        </w:tc>
        <w:tc>
          <w:tcPr>
            <w:tcW w:type="dxa" w:w="1040"/>
          </w:tcPr>
          <w:p>
            <w:pPr>
              <w:keepLines w:val="1"/>
              <w:keepNext w:val="1"/>
            </w:pPr>
            <w:r>
              <w:t>✅</w:t>
            </w:r>
          </w:p>
        </w:tc>
        <w:tc>
          <w:tcPr>
            <w:tcW w:type="dxa" w:w="1040"/>
          </w:tcPr>
          <w:p>
            <w:pPr>
              <w:keepLines w:val="1"/>
              <w:keepNext w:val="1"/>
            </w:pPr>
            <w:r>
              <w:t>✅</w:t>
            </w:r>
          </w:p>
        </w:tc>
        <w:tc>
          <w:tcPr>
            <w:tcW w:type="dxa" w:w="1040"/>
          </w:tcPr>
          <w:p>
            <w:pPr>
              <w:keepLines w:val="1"/>
              <w:keepNext w:val="1"/>
            </w:pPr>
            <w:r>
              <w:t>SSDF</w:t>
            </w:r>
          </w:p>
        </w:tc>
        <w:tc>
          <w:tcPr>
            <w:tcW w:type="dxa" w:w="1040"/>
          </w:tcPr>
          <w:p>
            <w:pPr>
              <w:keepLines w:val="1"/>
              <w:keepNext w:val="1"/>
            </w:pPr>
            <w:r>
              <w:t>—</w:t>
            </w:r>
          </w:p>
        </w:tc>
        <w:tc>
          <w:tcPr>
            <w:tcW w:type="dxa" w:w="1040"/>
          </w:tcPr>
          <w:p>
            <w:pPr>
              <w:keepLines w:val="1"/>
              <w:keepNext w:val="1"/>
            </w:pPr>
            <w:r>
              <w:t>4,2</w:t>
            </w:r>
          </w:p>
        </w:tc>
      </w:tr>
      <w:tr>
        <w:trPr>
          <w:cantSplit w:val="1"/>
        </w:trPr>
        <w:tc>
          <w:tcPr>
            <w:tcW w:type="dxa" w:w="1040"/>
          </w:tcPr>
          <w:p>
            <w:pPr>
              <w:keepLines w:val="1"/>
              <w:keepNext w:val="1"/>
            </w:pPr>
            <w:r>
              <w:t>M-SC-1.2</w:t>
            </w:r>
          </w:p>
        </w:tc>
        <w:tc>
          <w:tcPr>
            <w:tcW w:type="dxa" w:w="1040"/>
          </w:tcPr>
          <w:p>
            <w:pPr>
              <w:keepLines w:val="1"/>
              <w:keepNext w:val="1"/>
            </w:pPr>
            <w:r>
              <w:t>✅</w:t>
            </w:r>
          </w:p>
        </w:tc>
        <w:tc>
          <w:tcPr>
            <w:tcW w:type="dxa" w:w="1040"/>
          </w:tcPr>
          <w:p>
            <w:pPr>
              <w:keepLines w:val="1"/>
              <w:keepNext w:val="1"/>
            </w:pPr>
            <w:r>
              <w:t>✅</w:t>
            </w:r>
          </w:p>
        </w:tc>
        <w:tc>
          <w:tcPr>
            <w:tcW w:type="dxa" w:w="1040"/>
          </w:tcPr>
          <w:p>
            <w:pPr>
              <w:keepLines w:val="1"/>
              <w:keepNext w:val="1"/>
            </w:pPr>
            <w:r>
              <w:t>✅</w:t>
            </w:r>
          </w:p>
        </w:tc>
        <w:tc>
          <w:tcPr>
            <w:tcW w:type="dxa" w:w="1040"/>
          </w:tcPr>
          <w:p>
            <w:pPr>
              <w:keepLines w:val="1"/>
              <w:keepNext w:val="1"/>
            </w:pPr>
            <w:r>
              <w:t>—</w:t>
            </w:r>
          </w:p>
        </w:tc>
        <w:tc>
          <w:tcPr>
            <w:tcW w:type="dxa" w:w="1040"/>
          </w:tcPr>
          <w:p>
            <w:pPr>
              <w:keepLines w:val="1"/>
              <w:keepNext w:val="1"/>
            </w:pPr>
            <w:r>
              <w:t>✅</w:t>
            </w:r>
          </w:p>
        </w:tc>
        <w:tc>
          <w:tcPr>
            <w:tcW w:type="dxa" w:w="1040"/>
          </w:tcPr>
          <w:p>
            <w:pPr>
              <w:keepLines w:val="1"/>
              <w:keepNext w:val="1"/>
            </w:pPr>
            <w:r>
              <w:t>SSDF</w:t>
            </w:r>
          </w:p>
        </w:tc>
        <w:tc>
          <w:tcPr>
            <w:tcW w:type="dxa" w:w="1040"/>
          </w:tcPr>
          <w:p>
            <w:pPr>
              <w:keepLines w:val="1"/>
              <w:keepNext w:val="1"/>
            </w:pPr>
            <w:r>
              <w:t>—</w:t>
            </w:r>
          </w:p>
        </w:tc>
        <w:tc>
          <w:tcPr>
            <w:tcW w:type="dxa" w:w="1040"/>
          </w:tcPr>
          <w:p>
            <w:pPr>
              <w:keepLines w:val="1"/>
              <w:keepNext w:val="1"/>
            </w:pPr>
            <w:r>
              <w:t>4,2</w:t>
            </w:r>
          </w:p>
        </w:tc>
      </w:tr>
      <w:tr>
        <w:trPr>
          <w:cantSplit w:val="1"/>
        </w:trPr>
        <w:tc>
          <w:tcPr>
            <w:tcW w:type="dxa" w:w="1040"/>
          </w:tcPr>
          <w:p>
            <w:pPr>
              <w:keepLines w:val="1"/>
              <w:keepNext w:val="1"/>
            </w:pPr>
            <w:r>
              <w:t>M-SC-1.3</w:t>
            </w:r>
          </w:p>
        </w:tc>
        <w:tc>
          <w:tcPr>
            <w:tcW w:type="dxa" w:w="1040"/>
          </w:tcPr>
          <w:p>
            <w:pPr>
              <w:keepLines w:val="1"/>
              <w:keepNext w:val="1"/>
            </w:pPr>
            <w:r>
              <w:t>✅</w:t>
            </w:r>
          </w:p>
        </w:tc>
        <w:tc>
          <w:tcPr>
            <w:tcW w:type="dxa" w:w="1040"/>
          </w:tcPr>
          <w:p>
            <w:pPr>
              <w:keepLines w:val="1"/>
              <w:keepNext w:val="1"/>
            </w:pPr>
            <w:r>
              <w:t>✅</w:t>
            </w:r>
          </w:p>
        </w:tc>
        <w:tc>
          <w:tcPr>
            <w:tcW w:type="dxa" w:w="1040"/>
          </w:tcPr>
          <w:p>
            <w:pPr>
              <w:keepLines w:val="1"/>
              <w:keepNext w:val="1"/>
            </w:pPr>
            <w:r>
              <w:t>✅</w:t>
            </w:r>
          </w:p>
        </w:tc>
        <w:tc>
          <w:tcPr>
            <w:tcW w:type="dxa" w:w="1040"/>
          </w:tcPr>
          <w:p>
            <w:pPr>
              <w:keepLines w:val="1"/>
              <w:keepNext w:val="1"/>
            </w:pPr>
            <w:r>
              <w:t>✅</w:t>
            </w:r>
          </w:p>
        </w:tc>
        <w:tc>
          <w:tcPr>
            <w:tcW w:type="dxa" w:w="1040"/>
          </w:tcPr>
          <w:p>
            <w:pPr>
              <w:keepLines w:val="1"/>
              <w:keepNext w:val="1"/>
            </w:pPr>
            <w:r>
              <w:t>✅</w:t>
            </w:r>
          </w:p>
        </w:tc>
        <w:tc>
          <w:tcPr>
            <w:tcW w:type="dxa" w:w="1040"/>
          </w:tcPr>
          <w:p>
            <w:pPr>
              <w:keepLines w:val="1"/>
              <w:keepNext w:val="1"/>
            </w:pPr>
            <w:r>
              <w:t>800-40</w:t>
            </w:r>
          </w:p>
        </w:tc>
        <w:tc>
          <w:tcPr>
            <w:tcW w:type="dxa" w:w="1040"/>
          </w:tcPr>
          <w:p>
            <w:pPr>
              <w:keepLines w:val="1"/>
              <w:keepNext w:val="1"/>
            </w:pPr>
            <w:r>
              <w:t>—</w:t>
            </w:r>
          </w:p>
        </w:tc>
        <w:tc>
          <w:tcPr>
            <w:tcW w:type="dxa" w:w="1040"/>
          </w:tcPr>
          <w:p>
            <w:pPr>
              <w:keepLines w:val="1"/>
              <w:keepNext w:val="1"/>
            </w:pPr>
            <w:r>
              <w:t>4,6</w:t>
            </w:r>
          </w:p>
        </w:tc>
      </w:tr>
      <w:tr>
        <w:trPr>
          <w:cantSplit w:val="1"/>
        </w:trPr>
        <w:tc>
          <w:tcPr>
            <w:tcW w:type="dxa" w:w="1040"/>
          </w:tcPr>
          <w:p>
            <w:pPr>
              <w:keepLines w:val="1"/>
              <w:keepNext w:val="1"/>
            </w:pPr>
            <w:r>
              <w:t>M-NET-1.1</w:t>
            </w:r>
          </w:p>
        </w:tc>
        <w:tc>
          <w:tcPr>
            <w:tcW w:type="dxa" w:w="1040"/>
          </w:tcPr>
          <w:p>
            <w:pPr>
              <w:keepLines w:val="1"/>
              <w:keepNext w:val="1"/>
            </w:pPr>
            <w:r>
              <w:t>✅</w:t>
            </w:r>
          </w:p>
        </w:tc>
        <w:tc>
          <w:tcPr>
            <w:tcW w:type="dxa" w:w="1040"/>
          </w:tcPr>
          <w:p>
            <w:pPr>
              <w:keepLines w:val="1"/>
              <w:keepNext w:val="1"/>
            </w:pPr>
            <w:r>
              <w:t>✅</w:t>
            </w:r>
          </w:p>
        </w:tc>
        <w:tc>
          <w:tcPr>
            <w:tcW w:type="dxa" w:w="1040"/>
          </w:tcPr>
          <w:p>
            <w:pPr>
              <w:keepLines w:val="1"/>
              <w:keepNext w:val="1"/>
            </w:pPr>
            <w:r>
              <w:t>✅</w:t>
            </w:r>
          </w:p>
        </w:tc>
        <w:tc>
          <w:tcPr>
            <w:tcW w:type="dxa" w:w="1040"/>
          </w:tcPr>
          <w:p>
            <w:pPr>
              <w:keepLines w:val="1"/>
              <w:keepNext w:val="1"/>
            </w:pPr>
            <w:r>
              <w:t>✅</w:t>
            </w:r>
          </w:p>
        </w:tc>
        <w:tc>
          <w:tcPr>
            <w:tcW w:type="dxa" w:w="1040"/>
          </w:tcPr>
          <w:p>
            <w:pPr>
              <w:keepLines w:val="1"/>
              <w:keepNext w:val="1"/>
            </w:pPr>
            <w:r>
              <w:t>✅</w:t>
            </w:r>
          </w:p>
        </w:tc>
        <w:tc>
          <w:tcPr>
            <w:tcW w:type="dxa" w:w="1040"/>
          </w:tcPr>
          <w:p>
            <w:pPr>
              <w:keepLines w:val="1"/>
              <w:keepNext w:val="1"/>
            </w:pPr>
            <w:r>
              <w:t>—</w:t>
            </w:r>
          </w:p>
        </w:tc>
        <w:tc>
          <w:tcPr>
            <w:tcW w:type="dxa" w:w="1040"/>
          </w:tcPr>
          <w:p>
            <w:pPr>
              <w:keepLines w:val="1"/>
              <w:keepNext w:val="1"/>
            </w:pPr>
            <w:r>
              <w:t>PQC</w:t>
            </w:r>
          </w:p>
        </w:tc>
        <w:tc>
          <w:tcPr>
            <w:tcW w:type="dxa" w:w="1040"/>
          </w:tcPr>
          <w:p>
            <w:pPr>
              <w:keepLines w:val="1"/>
              <w:keepNext w:val="1"/>
            </w:pPr>
            <w:r>
              <w:t>4,0</w:t>
            </w:r>
          </w:p>
        </w:tc>
      </w:tr>
      <w:tr>
        <w:trPr>
          <w:cantSplit w:val="1"/>
        </w:trPr>
        <w:tc>
          <w:tcPr>
            <w:tcW w:type="dxa" w:w="1040"/>
          </w:tcPr>
          <w:p>
            <w:pPr>
              <w:keepLines w:val="1"/>
              <w:keepNext w:val="1"/>
            </w:pPr>
            <w:r>
              <w:t>M-NET-1.2</w:t>
            </w:r>
          </w:p>
        </w:tc>
        <w:tc>
          <w:tcPr>
            <w:tcW w:type="dxa" w:w="1040"/>
          </w:tcPr>
          <w:p>
            <w:pPr>
              <w:keepLines w:val="1"/>
              <w:keepNext w:val="1"/>
            </w:pPr>
            <w:r>
              <w:t>✅</w:t>
            </w:r>
          </w:p>
        </w:tc>
        <w:tc>
          <w:tcPr>
            <w:tcW w:type="dxa" w:w="1040"/>
          </w:tcPr>
          <w:p>
            <w:pPr>
              <w:keepLines w:val="1"/>
              <w:keepNext w:val="1"/>
            </w:pPr>
            <w:r>
              <w:t>✅</w:t>
            </w:r>
          </w:p>
        </w:tc>
        <w:tc>
          <w:tcPr>
            <w:tcW w:type="dxa" w:w="1040"/>
          </w:tcPr>
          <w:p>
            <w:pPr>
              <w:keepLines w:val="1"/>
              <w:keepNext w:val="1"/>
            </w:pPr>
            <w:r>
              <w:t>✅</w:t>
            </w:r>
          </w:p>
        </w:tc>
        <w:tc>
          <w:tcPr>
            <w:tcW w:type="dxa" w:w="1040"/>
          </w:tcPr>
          <w:p>
            <w:pPr>
              <w:keepLines w:val="1"/>
              <w:keepNext w:val="1"/>
            </w:pPr>
            <w:r>
              <w:t>✅</w:t>
            </w:r>
          </w:p>
        </w:tc>
        <w:tc>
          <w:tcPr>
            <w:tcW w:type="dxa" w:w="1040"/>
          </w:tcPr>
          <w:p>
            <w:pPr>
              <w:keepLines w:val="1"/>
              <w:keepNext w:val="1"/>
            </w:pPr>
            <w:r>
              <w:t>—</w:t>
            </w:r>
          </w:p>
        </w:tc>
        <w:tc>
          <w:tcPr>
            <w:tcW w:type="dxa" w:w="1040"/>
          </w:tcPr>
          <w:p>
            <w:pPr>
              <w:keepLines w:val="1"/>
              <w:keepNext w:val="1"/>
            </w:pPr>
            <w:r>
              <w:t>—</w:t>
            </w:r>
          </w:p>
        </w:tc>
        <w:tc>
          <w:tcPr>
            <w:tcW w:type="dxa" w:w="1040"/>
          </w:tcPr>
          <w:p>
            <w:pPr>
              <w:keepLines w:val="1"/>
              <w:keepNext w:val="1"/>
            </w:pPr>
            <w:r>
              <w:t>PQC</w:t>
            </w:r>
          </w:p>
        </w:tc>
        <w:tc>
          <w:tcPr>
            <w:tcW w:type="dxa" w:w="1040"/>
          </w:tcPr>
          <w:p>
            <w:pPr>
              <w:keepLines w:val="1"/>
              <w:keepNext w:val="1"/>
            </w:pPr>
            <w:r>
              <w:t>4,8</w:t>
            </w:r>
          </w:p>
        </w:tc>
      </w:tr>
      <w:tr>
        <w:trPr>
          <w:cantSplit w:val="1"/>
        </w:trPr>
        <w:tc>
          <w:tcPr>
            <w:tcW w:type="dxa" w:w="1040"/>
          </w:tcPr>
          <w:p>
            <w:pPr>
              <w:keepLines w:val="1"/>
              <w:keepNext w:val="1"/>
            </w:pPr>
            <w:r>
              <w:t>M-HW-1.1</w:t>
            </w:r>
          </w:p>
        </w:tc>
        <w:tc>
          <w:tcPr>
            <w:tcW w:type="dxa" w:w="1040"/>
          </w:tcPr>
          <w:p>
            <w:pPr>
              <w:keepLines w:val="1"/>
              <w:keepNext w:val="1"/>
            </w:pPr>
            <w:r>
              <w:t>✅</w:t>
            </w:r>
          </w:p>
        </w:tc>
        <w:tc>
          <w:tcPr>
            <w:tcW w:type="dxa" w:w="1040"/>
          </w:tcPr>
          <w:p>
            <w:pPr>
              <w:keepLines w:val="1"/>
              <w:keepNext w:val="1"/>
            </w:pPr>
            <w:r>
              <w:t>✅</w:t>
            </w:r>
          </w:p>
        </w:tc>
        <w:tc>
          <w:tcPr>
            <w:tcW w:type="dxa" w:w="1040"/>
          </w:tcPr>
          <w:p>
            <w:pPr>
              <w:keepLines w:val="1"/>
              <w:keepNext w:val="1"/>
            </w:pPr>
            <w:r>
              <w:t>—</w:t>
            </w:r>
          </w:p>
        </w:tc>
        <w:tc>
          <w:tcPr>
            <w:tcW w:type="dxa" w:w="1040"/>
          </w:tcPr>
          <w:p>
            <w:pPr>
              <w:keepLines w:val="1"/>
              <w:keepNext w:val="1"/>
            </w:pPr>
            <w:r>
              <w:t>✅</w:t>
            </w:r>
          </w:p>
        </w:tc>
        <w:tc>
          <w:tcPr>
            <w:tcW w:type="dxa" w:w="1040"/>
          </w:tcPr>
          <w:p>
            <w:pPr>
              <w:keepLines w:val="1"/>
              <w:keepNext w:val="1"/>
            </w:pPr>
            <w:r>
              <w:t>—</w:t>
            </w:r>
          </w:p>
        </w:tc>
        <w:tc>
          <w:tcPr>
            <w:tcW w:type="dxa" w:w="1040"/>
          </w:tcPr>
          <w:p>
            <w:pPr>
              <w:keepLines w:val="1"/>
              <w:keepNext w:val="1"/>
            </w:pPr>
            <w:r>
              <w:t>800-193</w:t>
            </w:r>
          </w:p>
        </w:tc>
        <w:tc>
          <w:tcPr>
            <w:tcW w:type="dxa" w:w="1040"/>
          </w:tcPr>
          <w:p>
            <w:pPr>
              <w:keepLines w:val="1"/>
              <w:keepNext w:val="1"/>
            </w:pPr>
            <w:r>
              <w:t>—</w:t>
            </w:r>
          </w:p>
        </w:tc>
        <w:tc>
          <w:tcPr>
            <w:tcW w:type="dxa" w:w="1040"/>
          </w:tcPr>
          <w:p>
            <w:pPr>
              <w:keepLines w:val="1"/>
              <w:keepNext w:val="1"/>
            </w:pPr>
            <w:r>
              <w:t>3,3</w:t>
            </w:r>
          </w:p>
        </w:tc>
      </w:tr>
      <w:tr>
        <w:trPr>
          <w:cantSplit w:val="1"/>
        </w:trPr>
        <w:tc>
          <w:tcPr>
            <w:tcW w:type="dxa" w:w="1040"/>
          </w:tcPr>
          <w:p>
            <w:pPr>
              <w:keepLines w:val="1"/>
              <w:keepNext w:val="1"/>
            </w:pPr>
            <w:r>
              <w:t>M-OT-1.1</w:t>
            </w:r>
          </w:p>
        </w:tc>
        <w:tc>
          <w:tcPr>
            <w:tcW w:type="dxa" w:w="1040"/>
          </w:tcPr>
          <w:p>
            <w:pPr>
              <w:keepLines w:val="1"/>
              <w:keepNext w:val="1"/>
            </w:pPr>
            <w:r>
              <w:t>✅</w:t>
            </w:r>
          </w:p>
        </w:tc>
        <w:tc>
          <w:tcPr>
            <w:tcW w:type="dxa" w:w="1040"/>
          </w:tcPr>
          <w:p>
            <w:pPr>
              <w:keepLines w:val="1"/>
              <w:keepNext w:val="1"/>
            </w:pPr>
            <w:r>
              <w:t>✅</w:t>
            </w:r>
          </w:p>
        </w:tc>
        <w:tc>
          <w:tcPr>
            <w:tcW w:type="dxa" w:w="1040"/>
          </w:tcPr>
          <w:p>
            <w:pPr>
              <w:keepLines w:val="1"/>
              <w:keepNext w:val="1"/>
            </w:pPr>
            <w:r>
              <w:t>✅</w:t>
            </w:r>
          </w:p>
        </w:tc>
        <w:tc>
          <w:tcPr>
            <w:tcW w:type="dxa" w:w="1040"/>
          </w:tcPr>
          <w:p>
            <w:pPr>
              <w:keepLines w:val="1"/>
              <w:keepNext w:val="1"/>
            </w:pPr>
            <w:r>
              <w:t>—</w:t>
            </w:r>
          </w:p>
        </w:tc>
        <w:tc>
          <w:tcPr>
            <w:tcW w:type="dxa" w:w="1040"/>
          </w:tcPr>
          <w:p>
            <w:pPr>
              <w:keepLines w:val="1"/>
              <w:keepNext w:val="1"/>
            </w:pPr>
            <w:r>
              <w:t>✅</w:t>
            </w:r>
          </w:p>
        </w:tc>
        <w:tc>
          <w:tcPr>
            <w:tcW w:type="dxa" w:w="1040"/>
          </w:tcPr>
          <w:p>
            <w:pPr>
              <w:keepLines w:val="1"/>
              <w:keepNext w:val="1"/>
            </w:pPr>
            <w:r>
              <w:t>—</w:t>
            </w:r>
          </w:p>
        </w:tc>
        <w:tc>
          <w:tcPr>
            <w:tcW w:type="dxa" w:w="1040"/>
          </w:tcPr>
          <w:p>
            <w:pPr>
              <w:keepLines w:val="1"/>
              <w:keepNext w:val="1"/>
            </w:pPr>
            <w:r>
              <w:t>IEC62443</w:t>
            </w:r>
          </w:p>
        </w:tc>
        <w:tc>
          <w:tcPr>
            <w:tcW w:type="dxa" w:w="1040"/>
          </w:tcPr>
          <w:p>
            <w:pPr>
              <w:keepLines w:val="1"/>
              <w:keepNext w:val="1"/>
            </w:pPr>
            <w:r>
              <w:t>4,0</w:t>
            </w:r>
          </w:p>
        </w:tc>
      </w:tr>
      <w:tr>
        <w:trPr>
          <w:cantSplit w:val="1"/>
        </w:trPr>
        <w:tc>
          <w:tcPr>
            <w:tcW w:type="dxa" w:w="1040"/>
          </w:tcPr>
          <w:p>
            <w:pPr>
              <w:keepLines w:val="1"/>
              <w:keepNext w:val="1"/>
            </w:pPr>
            <w:r>
              <w:t>M-AI-1.1</w:t>
            </w:r>
          </w:p>
        </w:tc>
        <w:tc>
          <w:tcPr>
            <w:tcW w:type="dxa" w:w="1040"/>
          </w:tcPr>
          <w:p>
            <w:pPr>
              <w:keepLines w:val="1"/>
              <w:keepNext w:val="1"/>
            </w:pPr>
            <w:r>
              <w:t>✅</w:t>
            </w:r>
          </w:p>
        </w:tc>
        <w:tc>
          <w:tcPr>
            <w:tcW w:type="dxa" w:w="1040"/>
          </w:tcPr>
          <w:p>
            <w:pPr>
              <w:keepLines w:val="1"/>
              <w:keepNext w:val="1"/>
            </w:pPr>
            <w:r>
              <w:t>—</w:t>
            </w:r>
          </w:p>
        </w:tc>
        <w:tc>
          <w:tcPr>
            <w:tcW w:type="dxa" w:w="1040"/>
          </w:tcPr>
          <w:p>
            <w:pPr>
              <w:keepLines w:val="1"/>
              <w:keepNext w:val="1"/>
            </w:pPr>
            <w:r>
              <w:t>—</w:t>
            </w:r>
          </w:p>
        </w:tc>
        <w:tc>
          <w:tcPr>
            <w:tcW w:type="dxa" w:w="1040"/>
          </w:tcPr>
          <w:p>
            <w:pPr>
              <w:keepLines w:val="1"/>
              <w:keepNext w:val="1"/>
            </w:pPr>
            <w:r>
              <w:t>✅</w:t>
            </w:r>
          </w:p>
        </w:tc>
        <w:tc>
          <w:tcPr>
            <w:tcW w:type="dxa" w:w="1040"/>
          </w:tcPr>
          <w:p>
            <w:pPr>
              <w:keepLines w:val="1"/>
              <w:keepNext w:val="1"/>
            </w:pPr>
            <w:r>
              <w:t>—</w:t>
            </w:r>
          </w:p>
        </w:tc>
        <w:tc>
          <w:tcPr>
            <w:tcW w:type="dxa" w:w="1040"/>
          </w:tcPr>
          <w:p>
            <w:pPr>
              <w:keepLines w:val="1"/>
              <w:keepNext w:val="1"/>
            </w:pPr>
            <w:r>
              <w:t>—</w:t>
            </w:r>
          </w:p>
        </w:tc>
        <w:tc>
          <w:tcPr>
            <w:tcW w:type="dxa" w:w="1040"/>
          </w:tcPr>
          <w:p>
            <w:pPr>
              <w:keepLines w:val="1"/>
              <w:keepNext w:val="1"/>
            </w:pPr>
            <w:r>
              <w:t>NIST AI</w:t>
            </w:r>
          </w:p>
        </w:tc>
        <w:tc>
          <w:tcPr>
            <w:tcW w:type="dxa" w:w="1040"/>
          </w:tcPr>
          <w:p>
            <w:pPr>
              <w:keepLines w:val="1"/>
              <w:keepNext w:val="1"/>
            </w:pPr>
            <w:r>
              <w:t>3,3</w:t>
            </w:r>
          </w:p>
        </w:tc>
      </w:tr>
      <w:tr>
        <w:trPr>
          <w:cantSplit w:val="1"/>
        </w:trPr>
        <w:tc>
          <w:tcPr>
            <w:tcW w:type="dxa" w:w="1040"/>
          </w:tcPr>
          <w:p>
            <w:pPr>
              <w:keepLines w:val="1"/>
              <w:keepNext w:val="1"/>
            </w:pPr>
            <w:r>
              <w:t>M-AI-1.2</w:t>
            </w:r>
          </w:p>
        </w:tc>
        <w:tc>
          <w:tcPr>
            <w:tcW w:type="dxa" w:w="1040"/>
          </w:tcPr>
          <w:p>
            <w:pPr>
              <w:keepLines w:val="1"/>
              <w:keepNext w:val="1"/>
            </w:pPr>
            <w:r>
              <w:t>—</w:t>
            </w:r>
          </w:p>
        </w:tc>
        <w:tc>
          <w:tcPr>
            <w:tcW w:type="dxa" w:w="1040"/>
          </w:tcPr>
          <w:p>
            <w:pPr>
              <w:keepLines w:val="1"/>
              <w:keepNext w:val="1"/>
            </w:pPr>
            <w:r>
              <w:t>✅</w:t>
            </w:r>
          </w:p>
        </w:tc>
        <w:tc>
          <w:tcPr>
            <w:tcW w:type="dxa" w:w="1040"/>
          </w:tcPr>
          <w:p>
            <w:pPr>
              <w:keepLines w:val="1"/>
              <w:keepNext w:val="1"/>
            </w:pPr>
            <w:r>
              <w:t>—</w:t>
            </w:r>
          </w:p>
        </w:tc>
        <w:tc>
          <w:tcPr>
            <w:tcW w:type="dxa" w:w="1040"/>
          </w:tcPr>
          <w:p>
            <w:pPr>
              <w:keepLines w:val="1"/>
              <w:keepNext w:val="1"/>
            </w:pPr>
            <w:r>
              <w:t>✅</w:t>
            </w:r>
          </w:p>
        </w:tc>
        <w:tc>
          <w:tcPr>
            <w:tcW w:type="dxa" w:w="1040"/>
          </w:tcPr>
          <w:p>
            <w:pPr>
              <w:keepLines w:val="1"/>
              <w:keepNext w:val="1"/>
            </w:pPr>
            <w:r>
              <w:t>—</w:t>
            </w:r>
          </w:p>
        </w:tc>
        <w:tc>
          <w:tcPr>
            <w:tcW w:type="dxa" w:w="1040"/>
          </w:tcPr>
          <w:p>
            <w:pPr>
              <w:keepLines w:val="1"/>
              <w:keepNext w:val="1"/>
            </w:pPr>
            <w:r>
              <w:t>—</w:t>
            </w:r>
          </w:p>
        </w:tc>
        <w:tc>
          <w:tcPr>
            <w:tcW w:type="dxa" w:w="1040"/>
          </w:tcPr>
          <w:p>
            <w:pPr>
              <w:keepLines w:val="1"/>
              <w:keepNext w:val="1"/>
            </w:pPr>
            <w:r>
              <w:t>NIST AI</w:t>
            </w:r>
          </w:p>
        </w:tc>
        <w:tc>
          <w:tcPr>
            <w:tcW w:type="dxa" w:w="1040"/>
          </w:tcPr>
          <w:p>
            <w:pPr>
              <w:keepLines w:val="1"/>
              <w:keepNext w:val="1"/>
            </w:pPr>
            <w:r>
              <w:t>3,1</w:t>
            </w:r>
          </w:p>
        </w:tc>
      </w:tr>
      <w:tr>
        <w:trPr>
          <w:cantSplit w:val="1"/>
        </w:trPr>
        <w:tc>
          <w:tcPr>
            <w:tcW w:type="dxa" w:w="1040"/>
          </w:tcPr>
          <w:p>
            <w:pPr>
              <w:keepLines w:val="1"/>
              <w:keepNext w:val="1"/>
            </w:pPr>
            <w:r>
              <w:t>M-PQC-1.1</w:t>
            </w:r>
          </w:p>
        </w:tc>
        <w:tc>
          <w:tcPr>
            <w:tcW w:type="dxa" w:w="1040"/>
          </w:tcPr>
          <w:p>
            <w:pPr>
              <w:keepLines w:val="1"/>
              <w:keepNext w:val="1"/>
            </w:pPr>
            <w:r>
              <w:t>✅</w:t>
            </w:r>
          </w:p>
        </w:tc>
        <w:tc>
          <w:tcPr>
            <w:tcW w:type="dxa" w:w="1040"/>
          </w:tcPr>
          <w:p>
            <w:pPr>
              <w:keepLines w:val="1"/>
              <w:keepNext w:val="1"/>
            </w:pPr>
            <w:r>
              <w:t>✅</w:t>
            </w:r>
          </w:p>
        </w:tc>
        <w:tc>
          <w:tcPr>
            <w:tcW w:type="dxa" w:w="1040"/>
          </w:tcPr>
          <w:p>
            <w:pPr>
              <w:keepLines w:val="1"/>
              <w:keepNext w:val="1"/>
            </w:pPr>
            <w:r>
              <w:t>✅</w:t>
            </w:r>
          </w:p>
        </w:tc>
        <w:tc>
          <w:tcPr>
            <w:tcW w:type="dxa" w:w="1040"/>
          </w:tcPr>
          <w:p>
            <w:pPr>
              <w:keepLines w:val="1"/>
              <w:keepNext w:val="1"/>
            </w:pPr>
            <w:r>
              <w:t>✅</w:t>
            </w:r>
          </w:p>
        </w:tc>
        <w:tc>
          <w:tcPr>
            <w:tcW w:type="dxa" w:w="1040"/>
          </w:tcPr>
          <w:p>
            <w:pPr>
              <w:keepLines w:val="1"/>
              <w:keepNext w:val="1"/>
            </w:pPr>
            <w:r>
              <w:t>—</w:t>
            </w:r>
          </w:p>
        </w:tc>
        <w:tc>
          <w:tcPr>
            <w:tcW w:type="dxa" w:w="1040"/>
          </w:tcPr>
          <w:p>
            <w:pPr>
              <w:keepLines w:val="1"/>
              <w:keepNext w:val="1"/>
            </w:pPr>
            <w:r>
              <w:t>—</w:t>
            </w:r>
          </w:p>
        </w:tc>
        <w:tc>
          <w:tcPr>
            <w:tcW w:type="dxa" w:w="1040"/>
          </w:tcPr>
          <w:p>
            <w:pPr>
              <w:keepLines w:val="1"/>
              <w:keepNext w:val="1"/>
            </w:pPr>
            <w:r>
              <w:t>NIST PQC</w:t>
            </w:r>
          </w:p>
        </w:tc>
        <w:tc>
          <w:tcPr>
            <w:tcW w:type="dxa" w:w="1040"/>
          </w:tcPr>
          <w:p>
            <w:pPr>
              <w:keepLines w:val="1"/>
              <w:keepNext w:val="1"/>
            </w:pPr>
            <w:r>
              <w:t>4,0</w:t>
            </w:r>
          </w:p>
        </w:tc>
      </w:tr>
      <w:tr>
        <w:trPr>
          <w:cantSplit w:val="1"/>
        </w:trPr>
        <w:tc>
          <w:tcPr>
            <w:tcW w:type="dxa" w:w="1040"/>
          </w:tcPr>
          <w:p>
            <w:pPr>
              <w:keepLines w:val="1"/>
              <w:keepNext w:val="1"/>
            </w:pPr>
            <w:r>
              <w:t>M-PQC-1.2</w:t>
            </w:r>
          </w:p>
        </w:tc>
        <w:tc>
          <w:tcPr>
            <w:tcW w:type="dxa" w:w="1040"/>
          </w:tcPr>
          <w:p>
            <w:pPr>
              <w:keepLines w:val="1"/>
              <w:keepNext w:val="1"/>
            </w:pPr>
            <w:r>
              <w:t>✅</w:t>
            </w:r>
          </w:p>
        </w:tc>
        <w:tc>
          <w:tcPr>
            <w:tcW w:type="dxa" w:w="1040"/>
          </w:tcPr>
          <w:p>
            <w:pPr>
              <w:keepLines w:val="1"/>
              <w:keepNext w:val="1"/>
            </w:pPr>
            <w:r>
              <w:t>✅</w:t>
            </w:r>
          </w:p>
        </w:tc>
        <w:tc>
          <w:tcPr>
            <w:tcW w:type="dxa" w:w="1040"/>
          </w:tcPr>
          <w:p>
            <w:pPr>
              <w:keepLines w:val="1"/>
              <w:keepNext w:val="1"/>
            </w:pPr>
            <w:r>
              <w:t>✅</w:t>
            </w:r>
          </w:p>
        </w:tc>
        <w:tc>
          <w:tcPr>
            <w:tcW w:type="dxa" w:w="1040"/>
          </w:tcPr>
          <w:p>
            <w:pPr>
              <w:keepLines w:val="1"/>
              <w:keepNext w:val="1"/>
            </w:pPr>
            <w:r>
              <w:t>—</w:t>
            </w:r>
          </w:p>
        </w:tc>
        <w:tc>
          <w:tcPr>
            <w:tcW w:type="dxa" w:w="1040"/>
          </w:tcPr>
          <w:p>
            <w:pPr>
              <w:keepLines w:val="1"/>
              <w:keepNext w:val="1"/>
            </w:pPr>
            <w:r>
              <w:t>—</w:t>
            </w:r>
          </w:p>
        </w:tc>
        <w:tc>
          <w:tcPr>
            <w:tcW w:type="dxa" w:w="1040"/>
          </w:tcPr>
          <w:p>
            <w:pPr>
              <w:keepLines w:val="1"/>
              <w:keepNext w:val="1"/>
            </w:pPr>
            <w:r>
              <w:t>—</w:t>
            </w:r>
          </w:p>
        </w:tc>
        <w:tc>
          <w:tcPr>
            <w:tcW w:type="dxa" w:w="1040"/>
          </w:tcPr>
          <w:p>
            <w:pPr>
              <w:keepLines w:val="1"/>
              <w:keepNext w:val="1"/>
            </w:pPr>
            <w:r>
              <w:t>NIST PQC</w:t>
            </w:r>
          </w:p>
        </w:tc>
        <w:tc>
          <w:tcPr>
            <w:tcW w:type="dxa" w:w="1040"/>
          </w:tcPr>
          <w:p>
            <w:pPr>
              <w:keepLines w:val="1"/>
              <w:keepNext w:val="1"/>
            </w:pPr>
            <w:r>
              <w:t>3,9</w:t>
            </w:r>
          </w:p>
        </w:tc>
      </w:tr>
      <w:tr>
        <w:trPr>
          <w:cantSplit w:val="1"/>
        </w:trPr>
        <w:tc>
          <w:tcPr>
            <w:tcW w:type="dxa" w:w="1040"/>
          </w:tcPr>
          <w:p>
            <w:pPr>
              <w:keepLines w:val="1"/>
            </w:pPr>
            <w:r>
              <w:t>M-GOV-1.2</w:t>
            </w:r>
          </w:p>
        </w:tc>
        <w:tc>
          <w:tcPr>
            <w:tcW w:type="dxa" w:w="1040"/>
          </w:tcPr>
          <w:p>
            <w:pPr>
              <w:keepLines w:val="1"/>
            </w:pPr>
            <w:r>
              <w:t>✅</w:t>
            </w:r>
          </w:p>
        </w:tc>
        <w:tc>
          <w:tcPr>
            <w:tcW w:type="dxa" w:w="1040"/>
          </w:tcPr>
          <w:p>
            <w:pPr>
              <w:keepLines w:val="1"/>
            </w:pPr>
            <w:r>
              <w:t>✅</w:t>
            </w:r>
          </w:p>
        </w:tc>
        <w:tc>
          <w:tcPr>
            <w:tcW w:type="dxa" w:w="1040"/>
          </w:tcPr>
          <w:p>
            <w:pPr>
              <w:keepLines w:val="1"/>
            </w:pPr>
            <w:r>
              <w:t>✅</w:t>
            </w:r>
          </w:p>
        </w:tc>
        <w:tc>
          <w:tcPr>
            <w:tcW w:type="dxa" w:w="1040"/>
          </w:tcPr>
          <w:p>
            <w:pPr>
              <w:keepLines w:val="1"/>
            </w:pPr>
            <w:r>
              <w:t>✅</w:t>
            </w:r>
          </w:p>
        </w:tc>
        <w:tc>
          <w:tcPr>
            <w:tcW w:type="dxa" w:w="1040"/>
          </w:tcPr>
          <w:p>
            <w:pPr>
              <w:keepLines w:val="1"/>
            </w:pPr>
            <w:r>
              <w:t>✅</w:t>
            </w:r>
          </w:p>
        </w:tc>
        <w:tc>
          <w:tcPr>
            <w:tcW w:type="dxa" w:w="1040"/>
          </w:tcPr>
          <w:p>
            <w:pPr>
              <w:keepLines w:val="1"/>
            </w:pPr>
            <w:r>
              <w:t>800-55</w:t>
            </w:r>
          </w:p>
        </w:tc>
        <w:tc>
          <w:tcPr>
            <w:tcW w:type="dxa" w:w="1040"/>
          </w:tcPr>
          <w:p>
            <w:pPr>
              <w:keepLines w:val="1"/>
            </w:pPr>
            <w:r>
              <w:t>—</w:t>
            </w:r>
          </w:p>
        </w:tc>
        <w:tc>
          <w:tcPr>
            <w:tcW w:type="dxa" w:w="1040"/>
          </w:tcPr>
          <w:p>
            <w:pPr>
              <w:keepLines w:val="1"/>
            </w:pPr>
            <w:r>
              <w:t>3,8</w:t>
            </w:r>
          </w:p>
        </w:tc>
      </w:tr>
    </w:tbl>
    <w:p/>
    <w:p>
      <w:r>
        <w:rPr>
          <w:i/>
        </w:rPr>
        <w:t>Kit GQM+PRAGMATIC CAPEC-ESP · Documento D: Mapeo Normativo · Versión 1.0 · Abril 2026</w:t>
      </w:r>
    </w:p>
    <w:sectPr w:rsidR="00FC693F" w:rsidRPr="0006063C" w:rsidSect="00034616">
      <w:headerReference w:type="default" r:id="rId9"/>
      <w:pgSz w:w="12240" w:h="15840"/>
      <w:pgMar w:top="21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943600" cy="310597"/>
          <wp:docPr id="1" name="Picture 1"/>
          <wp:cNvGraphicFramePr>
            <a:graphicFrameLocks noChangeAspect="1"/>
          </wp:cNvGraphicFramePr>
          <a:graphic>
            <a:graphicData uri="http://schemas.openxmlformats.org/drawingml/2006/picture">
              <pic:pic>
                <pic:nvPicPr>
                  <pic:cNvPr id="0" name="INCIBE+ULE.png"/>
                  <pic:cNvPicPr/>
                </pic:nvPicPr>
                <pic:blipFill>
                  <a:blip r:embed="rId1"/>
                  <a:stretch>
                    <a:fillRect/>
                  </a:stretch>
                </pic:blipFill>
                <pic:spPr>
                  <a:xfrm>
                    <a:off x="0" y="0"/>
                    <a:ext cx="5943600" cy="310597"/>
                  </a:xfrm>
                  <a:prstGeom prst="rect"/>
                </pic:spPr>
              </pic:pic>
            </a:graphicData>
          </a:graphic>
        </wp:inline>
      </w:drawing>
    </w:r>
  </w:p>
  <w:p>
    <w:pPr>
      <w:spacing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