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t>Escala usada por criterio (0–3):</w:t>
      </w:r>
    </w:p>
    <w:p>
      <w:pPr>
        <w:pStyle w:val="ListBullet"/>
        <w:keepLines w:val="1"/>
        <w:keepNext w:val="1"/>
        <w:widowControl w:val="1"/>
      </w:pPr>
      <w:r>
        <w:t>0 = No cumple o irrelevante.</w:t>
      </w:r>
    </w:p>
    <w:p>
      <w:pPr>
        <w:pStyle w:val="ListBullet"/>
        <w:keepLines w:val="1"/>
        <w:keepNext w:val="1"/>
        <w:widowControl w:val="1"/>
      </w:pPr>
      <w:r>
        <w:t>1 = Cumple parcialmente / utilidad limitada.</w:t>
      </w:r>
    </w:p>
    <w:p>
      <w:pPr>
        <w:pStyle w:val="ListBullet"/>
        <w:keepLines w:val="1"/>
        <w:keepNext w:val="1"/>
        <w:widowControl w:val="1"/>
      </w:pPr>
      <w:r>
        <w:t>2 = Cumple de forma adecuada.</w:t>
      </w:r>
    </w:p>
    <w:p>
      <w:pPr>
        <w:pStyle w:val="ListBullet"/>
        <w:keepLines w:val="1"/>
        <w:widowControl w:val="1"/>
      </w:pPr>
      <w:r>
        <w:t>3 = Cumple de forma sobresaliente.</w:t>
      </w:r>
    </w:p>
    <w:p>
      <w:r>
        <w:t>A continuación se ofrece una valoración de referencia para cada métrica STRIDE. Esta valoración debe adaptarse al contexto concreto de cada organización o, a nivel nacional, a la disponibilidad real de datos.</w:t>
      </w:r>
    </w:p>
    <w:p>
      <w:pPr>
        <w:pStyle w:val="Heading2"/>
        <w:keepNext/>
        <w:keepLines/>
      </w:pPr>
      <w:r>
        <w:rPr>
          <w:color w:val="0066CC"/>
        </w:rPr>
        <w:t>1. Métricas de Spoofing (S)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S1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accesos críticos con MFA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S2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cuentas privilegiadas bajo PAM con MFA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S3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APIs críticas con autenticación fuerte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S4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Tasa de intentos de suplantación detectados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2. Métricas de Tampering (T)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sistemas críticos con logs/datos protegidos criptográficamente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T2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procesos críticos con doble control / SoD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T3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% de dispositivos críticos con firmware firmado y arranque seguro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Métricas de Repudiation (R)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R1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sistemas críticos con logging centralizado y completo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R2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logs críticos almacenados en soportes inmutables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R3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Tiempo medio para reconstruir un incidente (TMR)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Métricas de Information Disclosure (I)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activos de información clasificados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datos sensibles cifrados en reposo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I3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flujos de red críticos bajo TLS fuerte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I4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% de integraciones críticas con evaluación de riesgo completada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5. Métricas de Denial of Service (D)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D1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Horas de indisponibilidad anual por servicio crítico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D2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servicios externos críticos con protección DoS/DDoS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D3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servicios esenciales con planes de continuidad probados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D4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% de herramientas de seguridad con arquitectura redundante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6. Métricas de Elevation of Privilege (E)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E1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cuentas privilegiadas bajo PAM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E2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roles/perfiles revisados anualmente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E3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Nº de revisiones de permisos privilegiados/año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E4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% de funciones críticas con segregación definida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7. Métricas de Gobierno y Métricas (GOV / MET)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Nivel de formalización del threat modeling (0–3)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% de proyectos críticos con threat modeling STRIDE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M1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Índice de cobertura de métricas STRIDE (0–1)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M2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Nº de decisiones de inversión justificadas por métricas/año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</w:tr>
    </w:tbl>
    <w:p/>
    <w:p>
      <w:r>
        <w:t>La suma o media de los criterios PRAGMATIC por métrica permite priorizar cuáles conviene implantar primero.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