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GCI</w:t>
      </w:r>
    </w:p>
    <w:p>
      <w:pPr>
        <w:pStyle w:val="Heading2"/>
        <w:keepNext/>
        <w:keepLines/>
      </w:pPr>
      <w:r>
        <w:rPr>
          <w:color w:val="0066CC"/>
        </w:rPr>
        <w:t>1. Contexto y propósito</w:t>
      </w:r>
    </w:p>
    <w:p>
      <w:r>
        <w:t>Este marco integra tres piezas que rara vez se sientan juntas en la misma mesa:</w:t>
      </w:r>
    </w:p>
    <w:p>
      <w:pPr>
        <w:pStyle w:val="ListBullet"/>
        <w:keepLines w:val="1"/>
        <w:keepNext w:val="1"/>
        <w:widowControl w:val="1"/>
      </w:pPr>
      <w:r>
        <w:t xml:space="preserve">El Global Cybersecurity Index (GCI) de la UIT, con sus cinco pilares de compromiso nacional en ciberseguridad.[web:20]  </w:t>
      </w:r>
    </w:p>
    <w:p>
      <w:pPr>
        <w:pStyle w:val="ListBullet"/>
        <w:keepLines w:val="1"/>
        <w:keepNext w:val="1"/>
        <w:widowControl w:val="1"/>
      </w:pPr>
      <w:r>
        <w:t xml:space="preserve">La metodología Goal–Question–Metric (GQM), que obliga a que toda métrica responda a una pregunta y toda pregunta apunte a un objetivo.[web:42][web:43][web:54]  </w:t>
      </w:r>
    </w:p>
    <w:p>
      <w:pPr>
        <w:pStyle w:val="ListBullet"/>
        <w:keepLines w:val="1"/>
        <w:widowControl w:val="1"/>
      </w:pPr>
      <w:r>
        <w:t xml:space="preserve">El criterio PRAGMATIC de evaluación de métricas (Predictivo, Relevante, Accionable, Genuino, Significativo, Preciso, Oportuno, Independiente, Rentable).[web:47][web:50][web:55]  </w:t>
      </w:r>
    </w:p>
    <w:p>
      <w:r>
        <w:t xml:space="preserve">El resultado: un puente trazable desde los </w:t>
      </w:r>
      <w:r>
        <w:rPr>
          <w:b/>
        </w:rPr>
        <w:t>objetivos nacionales GCI‑like</w:t>
      </w:r>
      <w:r>
        <w:t xml:space="preserve"> (España en Tier 1, resiliencia nacional, alineamiento con España Digital 2026) hasta los </w:t>
      </w:r>
      <w:r>
        <w:rPr>
          <w:b/>
        </w:rPr>
        <w:t>datos técnicos</w:t>
      </w:r>
      <w:r>
        <w:t xml:space="preserve"> que recogen las organizaciones y que queremos convertir en un Índice Global de Madurez (IGM) empresarial.</w:t>
      </w:r>
    </w:p>
    <w:p>
      <w:pPr>
        <w:pStyle w:val="Heading2"/>
        <w:keepNext/>
        <w:keepLines/>
      </w:pPr>
      <w:r>
        <w:rPr>
          <w:color w:val="0066CC"/>
        </w:rPr>
        <w:t>2. Recordatorio mínimo: GQM y PRAGMATIC</w:t>
      </w:r>
    </w:p>
    <w:p>
      <w:pPr>
        <w:pStyle w:val="Heading3"/>
        <w:keepNext/>
        <w:keepLines/>
      </w:pPr>
      <w:r>
        <w:t>2.1. GQM</w:t>
      </w:r>
    </w:p>
    <w:p>
      <w:r>
        <w:t xml:space="preserve">La aproximación GQM asume que no se debe medir nada que no responda a un propósito claro.[web:43][web:51][web:45]  </w:t>
      </w:r>
    </w:p>
    <w:p>
      <w:pPr>
        <w:pStyle w:val="ListBullet"/>
        <w:keepLines w:val="1"/>
        <w:keepNext w:val="1"/>
        <w:widowControl w:val="1"/>
      </w:pPr>
      <w:r>
        <w:t xml:space="preserve">Goal (Objetivo): enunciar, desde la perspectiva de la organización o del país, qué se quiere lograr, para qué y en qué contexto.  </w:t>
      </w:r>
    </w:p>
    <w:p>
      <w:pPr>
        <w:pStyle w:val="ListBullet"/>
        <w:keepLines w:val="1"/>
        <w:keepNext w:val="1"/>
        <w:widowControl w:val="1"/>
      </w:pPr>
      <w:r>
        <w:t xml:space="preserve">Question (Pregunta): traducir el objetivo en preguntas evaluables que orienten la observación.  </w:t>
      </w:r>
    </w:p>
    <w:p>
      <w:pPr>
        <w:pStyle w:val="ListBullet"/>
        <w:keepLines w:val="1"/>
        <w:widowControl w:val="1"/>
      </w:pPr>
      <w:r>
        <w:t xml:space="preserve">Metric (Métrica): definir indicadores cuantitativos o cualitativos que permitan responder a las preguntas de forma sistemática.  </w:t>
      </w:r>
    </w:p>
    <w:p>
      <w:r>
        <w:t>En nuestro caso:</w:t>
      </w:r>
    </w:p>
    <w:p>
      <w:pPr>
        <w:pStyle w:val="ListBullet"/>
        <w:keepLines w:val="1"/>
        <w:keepNext w:val="1"/>
        <w:widowControl w:val="1"/>
      </w:pPr>
      <w:r>
        <w:t xml:space="preserve">Los Goals derivan de los cinco pilares del GCI y de objetivos nacionales (ej. España Digital 2026, NIS2, ENS).[web:20][web:39]  </w:t>
      </w:r>
    </w:p>
    <w:p>
      <w:pPr>
        <w:pStyle w:val="ListBullet"/>
        <w:keepLines w:val="1"/>
        <w:keepNext w:val="1"/>
        <w:widowControl w:val="1"/>
      </w:pPr>
      <w:r>
        <w:t xml:space="preserve">Las Questions se inspiran en el cuestionario GCIv5 y en marcos de madurez de seguridad aplicados a empresas.[web:20][web:35][web:41]  </w:t>
      </w:r>
    </w:p>
    <w:p>
      <w:pPr>
        <w:pStyle w:val="ListBullet"/>
        <w:keepLines w:val="1"/>
        <w:widowControl w:val="1"/>
      </w:pPr>
      <w:r>
        <w:t>Las Metrics son datos operativos que las organizaciones pueden recoger sin tener que recurrir a oráculos.</w:t>
      </w:r>
    </w:p>
    <w:p>
      <w:pPr>
        <w:pStyle w:val="Heading3"/>
        <w:keepNext/>
        <w:keepLines/>
      </w:pPr>
      <w:r>
        <w:t>2.2. PRAGMATIC</w:t>
      </w:r>
    </w:p>
    <w:p>
      <w:r>
        <w:t xml:space="preserve">El enfoque PRAGMATIC propone que toda métrica de seguridad se valore según nueve criterios:[web:47][web:50][web:55]  </w:t>
      </w:r>
    </w:p>
    <w:p>
      <w:pPr>
        <w:pStyle w:val="ListBullet"/>
        <w:keepLines w:val="1"/>
        <w:keepNext w:val="1"/>
        <w:widowControl w:val="1"/>
      </w:pPr>
      <w:r>
        <w:t xml:space="preserve">P – Predictivo: ¿ayuda a anticipar problemas antes de que estallen?  </w:t>
      </w:r>
    </w:p>
    <w:p>
      <w:pPr>
        <w:pStyle w:val="ListBullet"/>
        <w:keepLines w:val="1"/>
        <w:keepNext w:val="1"/>
        <w:widowControl w:val="1"/>
      </w:pPr>
      <w:r>
        <w:t xml:space="preserve">R – Relevante: ¿importa realmente para los objetivos de la organización / país?  </w:t>
      </w:r>
    </w:p>
    <w:p>
      <w:pPr>
        <w:pStyle w:val="ListBullet"/>
        <w:keepLines w:val="1"/>
        <w:keepNext w:val="1"/>
        <w:widowControl w:val="1"/>
      </w:pPr>
      <w:r>
        <w:t xml:space="preserve">A – Accionable: ¿sugiere decisiones concretas o cambios claros?  </w:t>
      </w:r>
    </w:p>
    <w:p>
      <w:pPr>
        <w:pStyle w:val="ListBullet"/>
        <w:keepLines w:val="1"/>
        <w:keepNext w:val="1"/>
        <w:widowControl w:val="1"/>
      </w:pPr>
      <w:r>
        <w:t xml:space="preserve">G – Genuino: ¿refleja la realidad o puede manipularse con facilidad?  </w:t>
      </w:r>
    </w:p>
    <w:p>
      <w:pPr>
        <w:pStyle w:val="ListBullet"/>
        <w:keepLines w:val="1"/>
        <w:keepNext w:val="1"/>
        <w:widowControl w:val="1"/>
      </w:pPr>
      <w:r>
        <w:t xml:space="preserve">M – Significativo (Meaningful): ¿es comprensible para quien debe usarla?  </w:t>
      </w:r>
    </w:p>
    <w:p>
      <w:pPr>
        <w:pStyle w:val="ListBullet"/>
        <w:keepLines w:val="1"/>
        <w:keepNext w:val="1"/>
        <w:widowControl w:val="1"/>
      </w:pPr>
      <w:r>
        <w:t xml:space="preserve">A – Preciso (Accurate): ¿es fiable y consistente en el tiempo?  </w:t>
      </w:r>
    </w:p>
    <w:p>
      <w:pPr>
        <w:pStyle w:val="ListBullet"/>
        <w:keepLines w:val="1"/>
        <w:keepNext w:val="1"/>
        <w:widowControl w:val="1"/>
      </w:pPr>
      <w:r>
        <w:t xml:space="preserve">T – Oportuno (Timely): ¿llega a tiempo para influir en decisiones?  </w:t>
      </w:r>
    </w:p>
    <w:p>
      <w:pPr>
        <w:pStyle w:val="ListBullet"/>
        <w:keepLines w:val="1"/>
        <w:keepNext w:val="1"/>
        <w:widowControl w:val="1"/>
      </w:pPr>
      <w:r>
        <w:t xml:space="preserve">I – Independiente: ¿no depende en exceso de una fuente o persona parcial?  </w:t>
      </w:r>
    </w:p>
    <w:p>
      <w:pPr>
        <w:pStyle w:val="ListBullet"/>
        <w:keepLines w:val="1"/>
        <w:widowControl w:val="1"/>
      </w:pPr>
      <w:r>
        <w:t xml:space="preserve">C – Rentable (Cheap): ¿su coste de obtención es razonable frente al valor que aporta?  </w:t>
      </w:r>
    </w:p>
    <w:p>
      <w:r>
        <w:t>En este marco, cada métrica asociada a los indicadores del GCI se acompaña de una pequeña “tarjeta PRAGMATIC” que permite decidir si merece la pena mantenerla o ajustarla.</w:t>
      </w:r>
    </w:p>
    <w:p>
      <w:pPr>
        <w:pStyle w:val="Heading2"/>
        <w:keepNext/>
        <w:keepLines/>
      </w:pPr>
      <w:r>
        <w:rPr>
          <w:color w:val="0066CC"/>
        </w:rPr>
        <w:t>3. Arquitectura del marco: de GCI a IGM</w:t>
      </w:r>
    </w:p>
    <w:p>
      <w:pPr>
        <w:pStyle w:val="Heading3"/>
        <w:keepNext/>
        <w:keepLines/>
      </w:pPr>
      <w:r>
        <w:t>3.1. Capas de abstracción</w:t>
      </w:r>
    </w:p>
    <w:p>
      <w:r>
        <w:t>Proponemos una arquitectura de cuatro capas:</w:t>
      </w:r>
    </w:p>
    <w:p>
      <w:pPr>
        <w:pStyle w:val="ListNumber"/>
        <w:keepLines w:val="1"/>
        <w:keepNext w:val="1"/>
        <w:widowControl w:val="1"/>
      </w:pPr>
      <w:r>
        <w:t xml:space="preserve">Objetivos nacionales GCI‑like (macro) </w:t>
      </w:r>
    </w:p>
    <w:p>
      <w:pPr>
        <w:pStyle w:val="ListNumber"/>
        <w:keepLines w:val="1"/>
        <w:keepNext w:val="1"/>
        <w:widowControl w:val="1"/>
      </w:pPr>
      <w:r>
        <w:t xml:space="preserve">Derivados de la posición y aspiraciones de España en el GCI (Tier 1, resiliencia, cooperación internacional).[web:9][web:20]  </w:t>
      </w:r>
    </w:p>
    <w:p>
      <w:pPr>
        <w:pStyle w:val="ListNumber"/>
        <w:keepLines w:val="1"/>
        <w:keepNext w:val="1"/>
        <w:widowControl w:val="1"/>
      </w:pPr>
      <w:r>
        <w:br/>
        <w:t xml:space="preserve">Vinculados a programas como España Digital 2026 (por ejemplo, “reforzar la ciberseguridad del tejido productivo”).[web:39]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Objetivos intermedios por pilar (meso)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Traducen cada pilar GCI a metas específicas para empresas (ej. “mejorar la gestión contractual de ciberseguridad” en el pilar legal).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Preguntas GQM (micro estratégico)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Formuladas en lenguaje de negocio/gestión (ej. “¿tenemos cláusulas de ciberseguridad adecuadas en nuestros contratos críticos?”).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Métricas técnicas (micro operativo) </w:t>
        <w:br/>
      </w:r>
    </w:p>
    <w:p>
      <w:pPr>
        <w:pStyle w:val="ListNumber"/>
        <w:keepLines w:val="1"/>
        <w:widowControl w:val="1"/>
      </w:pPr>
      <w:r>
        <w:t xml:space="preserve">Datos concretos que responden a las preguntas (ej. “% de contratos con cláusulas de seguridad estándar aprobadas”).  </w:t>
      </w:r>
    </w:p>
    <w:p>
      <w:r>
        <w:t xml:space="preserve">Vinculados a programas como España Digital 2026 (por ejemplo, “reforzar la ciberseguridad del tejido productivo”).[web:39]  </w:t>
      </w:r>
    </w:p>
    <w:p>
      <w:r>
        <w:rPr>
          <w:b/>
        </w:rPr>
        <w:t>Objetivos intermedios por pilar (meso)</w:t>
      </w:r>
      <w:r>
        <w:t xml:space="preserve"> </w:t>
      </w:r>
    </w:p>
    <w:p>
      <w:r>
        <w:t xml:space="preserve">Traducen cada pilar GCI a metas específicas para empresas (ej. “mejorar la gestión contractual de ciberseguridad” en el pilar legal).  </w:t>
      </w:r>
    </w:p>
    <w:p>
      <w:r>
        <w:rPr>
          <w:b/>
        </w:rPr>
        <w:t>Preguntas GQM (micro estratégico)</w:t>
      </w:r>
      <w:r>
        <w:t xml:space="preserve"> </w:t>
      </w:r>
    </w:p>
    <w:p>
      <w:r>
        <w:t xml:space="preserve">Formuladas en lenguaje de negocio/gestión (ej. “¿tenemos cláusulas de ciberseguridad adecuadas en nuestros contratos críticos?”).  </w:t>
      </w:r>
    </w:p>
    <w:p>
      <w:r>
        <w:rPr>
          <w:b/>
        </w:rPr>
        <w:t>Métricas técnicas (micro operativo)</w:t>
      </w:r>
      <w:r>
        <w:t xml:space="preserve"> </w:t>
      </w:r>
    </w:p>
    <w:p>
      <w:r>
        <w:t>Cada métrica se evalúa con PRAGMATIC, de forma que el sistema pueda depurarse con el tiempo: se mantienen las métricas altas en PRAGMATIC, se revisan o eliminan las métricas débiles.</w:t>
      </w:r>
    </w:p>
    <w:p>
      <w:pPr>
        <w:pStyle w:val="Heading3"/>
        <w:keepNext/>
        <w:keepLines/>
      </w:pPr>
      <w:r>
        <w:t>3.2. Correspondencia con el GCI</w:t>
      </w:r>
    </w:p>
    <w:p>
      <w:r>
        <w:t xml:space="preserve">El GCI estructura su cuestionario en 5 pilares, 20 indicadores y diversos subindicadores que abarcan leyes, políticas, CSIRT, formación, cooperación, etc.[web:20] Para trasponerlo al nivel empresarial, proponemos cinco </w:t>
      </w:r>
      <w:r>
        <w:rPr>
          <w:b/>
        </w:rPr>
        <w:t>macro‑objetivos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G1 – Fortaleza jurídica corporativa (Pilar Legal).  </w:t>
      </w:r>
    </w:p>
    <w:p>
      <w:pPr>
        <w:pStyle w:val="ListBullet"/>
        <w:keepLines w:val="1"/>
        <w:keepNext w:val="1"/>
        <w:widowControl w:val="1"/>
      </w:pPr>
      <w:r>
        <w:t xml:space="preserve">G2 – Capacidad técnica de protección, detección y respuesta (Pilar Técnico).  </w:t>
      </w:r>
    </w:p>
    <w:p>
      <w:pPr>
        <w:pStyle w:val="ListBullet"/>
        <w:keepLines w:val="1"/>
        <w:keepNext w:val="1"/>
        <w:widowControl w:val="1"/>
      </w:pPr>
      <w:r>
        <w:t xml:space="preserve">G3 – Gobernanza y gestión del riesgo (Pilar Organizativo).  </w:t>
      </w:r>
    </w:p>
    <w:p>
      <w:pPr>
        <w:pStyle w:val="ListBullet"/>
        <w:keepLines w:val="1"/>
        <w:keepNext w:val="1"/>
        <w:widowControl w:val="1"/>
      </w:pPr>
      <w:r>
        <w:t xml:space="preserve">G4 – Capacidades humanas y de aprendizaje (Pilar Desarrollo de capacidades).  </w:t>
      </w:r>
    </w:p>
    <w:p>
      <w:pPr>
        <w:pStyle w:val="ListBullet"/>
        <w:keepLines w:val="1"/>
        <w:widowControl w:val="1"/>
      </w:pPr>
      <w:r>
        <w:t xml:space="preserve">G5 – Cooperación y ecosistema (Pilar Cooperación).  </w:t>
      </w:r>
    </w:p>
    <w:p>
      <w:r>
        <w:t xml:space="preserve">Cada uno se descompone en 2–4 </w:t>
      </w:r>
      <w:r>
        <w:rPr>
          <w:b/>
        </w:rPr>
        <w:t>sub‑objetivos GQM</w:t>
      </w:r>
      <w:r>
        <w:t>, que a su vez generan bloques de preguntas y métricas.</w:t>
      </w:r>
    </w:p>
    <w:p>
      <w:pPr>
        <w:pStyle w:val="Heading2"/>
        <w:keepNext/>
        <w:keepLines/>
      </w:pPr>
      <w:r>
        <w:rPr>
          <w:color w:val="0066CC"/>
        </w:rPr>
        <w:t>4. Ejemplos de cadenas GQM por pilar</w:t>
      </w:r>
    </w:p>
    <w:p>
      <w:pPr>
        <w:pStyle w:val="Heading3"/>
        <w:keepNext/>
        <w:keepLines/>
      </w:pPr>
      <w:r>
        <w:t>4.1. Pilar Legal (G1)</w:t>
      </w:r>
    </w:p>
    <w:p>
      <w:r>
        <w:rPr>
          <w:b/>
        </w:rPr>
        <w:t>Goal G1.1</w:t>
      </w:r>
      <w:r>
        <w:t xml:space="preserve">: Asegurar que la organización cumple de forma efectiva con las obligaciones legales y regulatorias en materia de ciberseguridad y protección de datos.  </w:t>
      </w:r>
    </w:p>
    <w:p>
      <w:r>
        <w:rPr>
          <w:b/>
        </w:rPr>
        <w:t>Questions (ejemplos)</w:t>
      </w:r>
      <w:r/>
      <w:r>
        <w:br/>
        <w:t>- Q1.1.1: ¿Identifica y mantiene la organización un inventario actualizado de normativas aplicables?</w:t>
      </w:r>
      <w:r/>
      <w:r>
        <w:br/>
        <w:t>- Q1.1.2: ¿Se realizan y siguen análisis de brechas de cumplimiento?</w:t>
      </w:r>
      <w:r/>
      <w:r>
        <w:br/>
        <w:t xml:space="preserve">- Q1.1.3: ¿Los contratos con terceros reflejan adecuadamente los requisitos de ciberseguridad?  </w:t>
      </w:r>
    </w:p>
    <w:p>
      <w:r>
        <w:rPr>
          <w:b/>
        </w:rPr>
        <w:t>Metrics (ejemplos)</w:t>
      </w:r>
      <w:r/>
      <w:r>
        <w:br/>
        <w:t>- M1.1.1: Existencia de inventario normativo formal (sí/no; madurez 0–4).</w:t>
      </w:r>
      <w:r/>
      <w:r>
        <w:br/>
        <w:t>- M1.1.2: Nº de análisis de brecha realizados en los últimos 24 meses.</w:t>
      </w:r>
      <w:r/>
      <w:r>
        <w:br/>
        <w:t>- M1.1.3: % de contratos críticos que incluyen cláusulas de ciberseguridad definidas.</w:t>
      </w:r>
      <w:r/>
      <w:r>
        <w:br/>
        <w:t xml:space="preserve">- M1.1.4: % de hallazgos de cumplimiento con plan de acción asignado y en curso.  </w:t>
      </w:r>
    </w:p>
    <w:p>
      <w:r>
        <w:t>Cada métrica se somete a la rejilla PRAGMATIC (ver matriz en el fichero correspondiente).</w:t>
      </w:r>
    </w:p>
    <w:p>
      <w:pPr>
        <w:pStyle w:val="Heading3"/>
        <w:keepNext/>
        <w:keepLines/>
      </w:pPr>
      <w:r>
        <w:t>4.2. Pilar Técnico (G2)</w:t>
      </w:r>
    </w:p>
    <w:p>
      <w:r>
        <w:rPr>
          <w:b/>
        </w:rPr>
        <w:t>Goal G2.1</w:t>
      </w:r>
      <w:r>
        <w:t xml:space="preserve">: Aumentar la capacidad de la organización para prevenir, detectar y responder eficazmente a ciberincidentes que puedan afectar a servicios esenciales o datos críticos.  </w:t>
      </w:r>
    </w:p>
    <w:p>
      <w:r>
        <w:rPr>
          <w:b/>
        </w:rPr>
        <w:t>Questions (ejemplos)</w:t>
      </w:r>
      <w:r/>
      <w:r>
        <w:br/>
        <w:t>- Q2.1.1: ¿Conocemos nuestros activos críticos y su exposición?</w:t>
      </w:r>
      <w:r/>
      <w:r>
        <w:br/>
        <w:t>- Q2.1.2: ¿Disponemos de capacidades de monitorización y respuesta adecuadas al riesgo?</w:t>
      </w:r>
      <w:r/>
      <w:r>
        <w:br/>
        <w:t xml:space="preserve">- Q2.1.3: ¿Probamos regularmente la eficacia de copias de seguridad y recuperaciones?  </w:t>
      </w:r>
    </w:p>
    <w:p>
      <w:r>
        <w:rPr>
          <w:b/>
        </w:rPr>
        <w:t>Metrics (ejemplos)</w:t>
      </w:r>
      <w:r/>
      <w:r>
        <w:br/>
        <w:t>- M2.1.1: % de activos críticos inventariados respecto al total estimado.</w:t>
      </w:r>
      <w:r/>
      <w:r>
        <w:br/>
        <w:t>- M2.1.2: Porcentaje de activos críticos cubiertos por monitorización 24x7.</w:t>
      </w:r>
      <w:r/>
      <w:r>
        <w:br/>
        <w:t>- M2.1.3: Tiempo medio de detección (MTTD) de incidentes significativos.</w:t>
      </w:r>
      <w:r/>
      <w:r>
        <w:br/>
        <w:t>- M2.1.4: Tiempo medio de respuesta (MTTR) hasta contención.</w:t>
      </w:r>
      <w:r/>
      <w:r>
        <w:br/>
        <w:t xml:space="preserve">- M2.1.5: Nº de pruebas de restauración de backups críticas realizadas / año y porcentaje exitoso.  </w:t>
      </w:r>
    </w:p>
    <w:p>
      <w:pPr>
        <w:pStyle w:val="Heading3"/>
        <w:keepNext/>
        <w:keepLines/>
      </w:pPr>
      <w:r>
        <w:t>4.3. Pilar Organizativo (G3)</w:t>
      </w:r>
    </w:p>
    <w:p>
      <w:r>
        <w:rPr>
          <w:b/>
        </w:rPr>
        <w:t>Goal G3.1</w:t>
      </w:r>
      <w:r>
        <w:t xml:space="preserve">: Integrar la ciberseguridad en la gobernanza corporativa y en la gestión de riesgos y continuidad de negocio.  </w:t>
      </w:r>
    </w:p>
    <w:p>
      <w:r>
        <w:rPr>
          <w:b/>
        </w:rPr>
        <w:t>Questions (ejemplos)</w:t>
      </w:r>
      <w:r/>
      <w:r>
        <w:br/>
        <w:t>- Q3.1.1: ¿Existe una estrategia de ciberseguridad alineada con la estrategia de negocio?</w:t>
      </w:r>
      <w:r/>
      <w:r>
        <w:br/>
        <w:t>- Q3.1.2: ¿Participa el órgano de gobierno en la supervisión de la ciberseguridad?</w:t>
      </w:r>
      <w:r/>
      <w:r>
        <w:br/>
        <w:t xml:space="preserve">- Q3.1.3: ¿Se realizan ejercicios de crisis y pruebas de continuidad que incluyan ciberincidentes?  </w:t>
      </w:r>
    </w:p>
    <w:p>
      <w:r>
        <w:rPr>
          <w:b/>
        </w:rPr>
        <w:t>Metrics (ejemplos)</w:t>
      </w:r>
      <w:r/>
      <w:r>
        <w:br/>
        <w:t>- M3.1.1: Existencia de estrategia formal de ciberseguridad (madurez 0–4).</w:t>
      </w:r>
      <w:r/>
      <w:r>
        <w:br/>
        <w:t>- M3.1.2: Nº de sesiones de consejo / dirección con reporte de ciberseguridad por año.</w:t>
      </w:r>
      <w:r/>
      <w:r>
        <w:br/>
        <w:t>- M3.1.3: Nº de ejercicios de crisis con componente ciber / año.</w:t>
      </w:r>
      <w:r/>
      <w:r>
        <w:br/>
        <w:t xml:space="preserve">- M3.1.4: % de procesos críticos cubiertos por BCP/DRP que incluyen escenarios de ciberincidente.  </w:t>
      </w:r>
    </w:p>
    <w:p>
      <w:pPr>
        <w:pStyle w:val="Heading3"/>
        <w:keepNext/>
        <w:keepLines/>
      </w:pPr>
      <w:r>
        <w:t>4.4. Pilar Desarrollo de Capacidades (G4)</w:t>
      </w:r>
    </w:p>
    <w:p>
      <w:r>
        <w:rPr>
          <w:b/>
        </w:rPr>
        <w:t>Goal G4.1</w:t>
      </w:r>
      <w:r>
        <w:t xml:space="preserve">: Fortalecer el capital humano en ciberseguridad, tanto especializado como generalista, para asegurar la sostenibilidad de las capacidades.  </w:t>
      </w:r>
    </w:p>
    <w:p>
      <w:r>
        <w:rPr>
          <w:b/>
        </w:rPr>
        <w:t>Questions (ejemplos)</w:t>
      </w:r>
      <w:r/>
      <w:r>
        <w:br/>
        <w:t>- Q4.1.1: ¿Reciben los empleados formación periódica en ciberseguridad?</w:t>
      </w:r>
      <w:r/>
      <w:r>
        <w:br/>
        <w:t>- Q4.1.2: ¿Cuenta la organización con un equipo de ciberseguridad dimensionado y cualificado?</w:t>
      </w:r>
      <w:r/>
      <w:r>
        <w:br/>
        <w:t xml:space="preserve">- Q4.1.3: ¿Existe un plan de carrera y certificaciones para perfiles clave?  </w:t>
      </w:r>
    </w:p>
    <w:p>
      <w:r>
        <w:rPr>
          <w:b/>
        </w:rPr>
        <w:t>Metrics (ejemplos)</w:t>
      </w:r>
      <w:r/>
      <w:r>
        <w:br/>
        <w:t>- M4.1.1: % de empleados que completan formación de ciberseguridad anual.</w:t>
      </w:r>
      <w:r/>
      <w:r>
        <w:br/>
        <w:t>- M4.1.2: Nº de profesionales dedicados a ciberseguridad por 1000 empleados.</w:t>
      </w:r>
      <w:r/>
      <w:r>
        <w:br/>
        <w:t>- M4.1.3: Nº medio de certificaciones relevantes por miembro del equipo de ciberseguridad.</w:t>
      </w:r>
      <w:r/>
      <w:r>
        <w:br/>
        <w:t xml:space="preserve">- M4.1.4: Rotación anual del personal de ciberseguridad (%).  </w:t>
      </w:r>
    </w:p>
    <w:p>
      <w:pPr>
        <w:pStyle w:val="Heading3"/>
        <w:keepNext/>
        <w:keepLines/>
      </w:pPr>
      <w:r>
        <w:t>4.5. Pilar Cooperación (G5)</w:t>
      </w:r>
    </w:p>
    <w:p>
      <w:r>
        <w:rPr>
          <w:b/>
        </w:rPr>
        <w:t>Goal G5.1</w:t>
      </w:r>
      <w:r>
        <w:t xml:space="preserve">: Aumentar el grado de cooperación y compartición de información de la organización con el ecosistema de ciberseguridad.  </w:t>
      </w:r>
    </w:p>
    <w:p>
      <w:r>
        <w:rPr>
          <w:b/>
        </w:rPr>
        <w:t>Questions (ejemplos)</w:t>
      </w:r>
      <w:r/>
      <w:r>
        <w:br/>
        <w:t>- Q5.1.1: ¿Participa la organización en foros y redes sectoriales de ciberseguridad?</w:t>
      </w:r>
      <w:r/>
      <w:r>
        <w:br/>
        <w:t>- Q5.1.2: ¿Comparte información sobre amenazas e incidentes con terceros de confianza?</w:t>
      </w:r>
      <w:r/>
      <w:r>
        <w:br/>
        <w:t xml:space="preserve">- Q5.1.3: ¿Realiza ejercicios conjuntos con proveedores y autoridades?  </w:t>
      </w:r>
    </w:p>
    <w:p>
      <w:r>
        <w:rPr>
          <w:b/>
        </w:rPr>
        <w:t>Metrics (ejemplos)</w:t>
      </w:r>
      <w:r/>
      <w:r>
        <w:br/>
        <w:t>- M5.1.1: Nº de redes / foros de ciberseguridad en los que participa activamente la organización.</w:t>
      </w:r>
      <w:r/>
      <w:r>
        <w:br/>
        <w:t>- M5.1.2: Nº de notificaciones de incidentes relevantes a CSIRT / autoridades / redes sectoriales por año.</w:t>
      </w:r>
      <w:r/>
      <w:r>
        <w:br/>
        <w:t xml:space="preserve">- M5.1.3: Nº de ejercicios conjuntos con terceros al año.  </w:t>
      </w:r>
    </w:p>
    <w:p>
      <w:pPr>
        <w:pStyle w:val="Heading2"/>
        <w:keepNext/>
        <w:keepLines/>
      </w:pPr>
      <w:r>
        <w:rPr>
          <w:color w:val="0066CC"/>
        </w:rPr>
        <w:t>5. Uso práctico del marco</w:t>
      </w:r>
    </w:p>
    <w:p>
      <w:pPr>
        <w:pStyle w:val="ListNumber"/>
        <w:keepLines w:val="1"/>
        <w:keepNext w:val="1"/>
        <w:widowControl w:val="1"/>
      </w:pPr>
      <w:r>
        <w:t xml:space="preserve">Definir objetivos nacionales y sectoriales </w:t>
      </w:r>
    </w:p>
    <w:p>
      <w:pPr>
        <w:pStyle w:val="ListNumber"/>
        <w:keepLines w:val="1"/>
        <w:keepNext w:val="1"/>
        <w:widowControl w:val="1"/>
      </w:pPr>
      <w:r>
        <w:br/>
        <w:t xml:space="preserve">Tomar como referencia el GCI, estrategias nacionales y sectoriales para priorizar pilares y sub‑objetivos.[web:20][web:39]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Seleccionar y refinar preguntas GQM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Partir del banco de preguntas de la encuesta y de los ejemplos de este marco.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Seleccionar métricas GQM–PRAGMATIC </w:t>
        <w:br/>
      </w:r>
    </w:p>
    <w:p>
      <w:pPr>
        <w:pStyle w:val="ListNumber"/>
        <w:keepLines w:val="1"/>
        <w:keepNext w:val="1"/>
        <w:widowControl w:val="1"/>
      </w:pPr>
      <w:r>
        <w:t xml:space="preserve">Para cada pregunta, definir 1–3 métricas potenciales.  </w:t>
      </w:r>
    </w:p>
    <w:p>
      <w:pPr>
        <w:pStyle w:val="ListNumber"/>
        <w:keepLines w:val="1"/>
        <w:keepNext w:val="1"/>
        <w:widowControl w:val="1"/>
      </w:pPr>
      <w:r>
        <w:br/>
        <w:t xml:space="preserve">Evaluar cada métrica con la matriz PRAGMATIC (ver fichero específico).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Depurar el catálogo de métricas </w:t>
        <w:br/>
      </w:r>
    </w:p>
    <w:p>
      <w:pPr>
        <w:pStyle w:val="ListNumber"/>
        <w:keepLines w:val="1"/>
        <w:keepNext w:val="1"/>
        <w:widowControl w:val="1"/>
      </w:pPr>
      <w:r>
        <w:t xml:space="preserve">Retener métricas con buena puntuación global PRAGMATIC.  </w:t>
      </w:r>
    </w:p>
    <w:p>
      <w:pPr>
        <w:pStyle w:val="ListNumber"/>
        <w:keepLines w:val="1"/>
        <w:keepNext w:val="1"/>
        <w:widowControl w:val="1"/>
      </w:pPr>
      <w:r>
        <w:br/>
        <w:t xml:space="preserve">Ajustar o descartar las que son bonitas en teoría y tóxicas en la práctica (por coste, manipulación, ausencia de acción).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Mantener la trazabilidad </w:t>
        <w:br/>
      </w:r>
    </w:p>
    <w:p>
      <w:pPr>
        <w:pStyle w:val="ListNumber"/>
        <w:keepLines w:val="1"/>
        <w:widowControl w:val="1"/>
      </w:pPr>
      <w:r>
        <w:t xml:space="preserve">Documentar siempre el encadenamiento Goal–Question–Metric en una tabla (objetivo nacional → objetivo pilar → pregunta → métrica → PRAGMATIC).  </w:t>
      </w:r>
    </w:p>
    <w:p>
      <w:r>
        <w:t xml:space="preserve">Tomar como referencia el GCI, estrategias nacionales y sectoriales para priorizar pilares y sub‑objetivos.[web:20][web:39]  </w:t>
      </w:r>
    </w:p>
    <w:p>
      <w:r>
        <w:rPr>
          <w:b/>
        </w:rPr>
        <w:t>Seleccionar y refinar preguntas GQM</w:t>
      </w:r>
      <w:r>
        <w:t xml:space="preserve"> </w:t>
      </w:r>
    </w:p>
    <w:p>
      <w:r>
        <w:t xml:space="preserve">Partir del banco de preguntas de la encuesta y de los ejemplos de este marco.  </w:t>
      </w:r>
    </w:p>
    <w:p>
      <w:r>
        <w:rPr>
          <w:b/>
        </w:rPr>
        <w:t>Seleccionar métricas GQM–PRAGMATIC</w:t>
      </w:r>
      <w:r>
        <w:t xml:space="preserve"> </w:t>
      </w:r>
    </w:p>
    <w:p>
      <w:r>
        <w:t xml:space="preserve">Evaluar cada métrica con la matriz PRAGMATIC (ver fichero específico).  </w:t>
      </w:r>
    </w:p>
    <w:p>
      <w:r>
        <w:rPr>
          <w:b/>
        </w:rPr>
        <w:t>Depurar el catálogo de métricas</w:t>
      </w:r>
      <w:r>
        <w:t xml:space="preserve"> </w:t>
      </w:r>
    </w:p>
    <w:p>
      <w:r>
        <w:t xml:space="preserve">Ajustar o descartar las que son bonitas en teoría y tóxicas en la práctica (por coste, manipulación, ausencia de acción).  </w:t>
      </w:r>
    </w:p>
    <w:p>
      <w:r>
        <w:rPr>
          <w:b/>
        </w:rPr>
        <w:t>Mantener la trazabilidad</w:t>
      </w:r>
      <w:r>
        <w:t xml:space="preserve"> </w:t>
      </w:r>
    </w:p>
    <w:p>
      <w:r>
        <w:t>Con este marco, cada dato técnico deja de ser un número suelto y pasa a ser un eslabón en una cadena que empieza en los objetivos nacionales de seguridad y termina en los logs y formularios de las organizaciones.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