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de Madurez en Ciberseguridad (Modelo GCI‑Empresa)</w:t>
      </w:r>
    </w:p>
    <w:p>
      <w:pPr>
        <w:pStyle w:val="Heading2"/>
        <w:keepNext/>
        <w:keepLines/>
      </w:pPr>
      <w:r>
        <w:rPr>
          <w:color w:val="0066CC"/>
        </w:rPr>
        <w:t>1. Objetivo de la encuesta</w:t>
      </w:r>
    </w:p>
    <w:p>
      <w:r>
        <w:t xml:space="preserve">Esta encuesta tiene como objetivo evaluar la madurez de ciberseguridad de organizaciones públicas y privadas utilizando como marco de referencia los cinco pilares del Global Cybersecurity Index (GCI) de la UIT: legal, técnico, organizativo, desarrollo de capacidades y cooperación.[web:28][web:38]  </w:t>
      </w:r>
    </w:p>
    <w:p>
      <w:r>
        <w:t xml:space="preserve">El propósito no es “rankear” empresas, sino identificar brechas, orientar prioridades de inversión y generar información comparativa que pueda alimentar tanto decisiones internas como iniciativas sectoriales y nacionales (por ejemplo, en el contexto de España Digital 2026).[web:39]  </w:t>
      </w:r>
    </w:p>
    <w:p>
      <w:pPr>
        <w:pStyle w:val="Heading2"/>
        <w:keepNext/>
        <w:keepLines/>
      </w:pPr>
      <w:r>
        <w:rPr>
          <w:color w:val="0066CC"/>
        </w:rPr>
        <w:t>2. Marco conceptual</w:t>
      </w:r>
    </w:p>
    <w:p>
      <w:pPr>
        <w:pStyle w:val="ListBullet"/>
        <w:keepLines w:val="1"/>
        <w:keepNext w:val="1"/>
        <w:widowControl w:val="1"/>
      </w:pPr>
      <w:r>
        <w:t xml:space="preserve">Global Cybersecurity Index (GCI) </w:t>
      </w:r>
    </w:p>
    <w:p>
      <w:pPr>
        <w:pStyle w:val="ListBullet"/>
        <w:keepLines w:val="1"/>
        <w:keepNext w:val="1"/>
        <w:widowControl w:val="1"/>
      </w:pPr>
      <w:r>
        <w:t xml:space="preserve">Índice compuesto que evalúa el compromiso de los estados con la ciberseguridad a partir de indicadores en cinco pilares, medidos mediante un cuestionario detallado (GCIv5: 83 preguntas, 20 indicadores, 64 sub‑indicadores, 28 micro‑indicadores).[web:33]  </w:t>
      </w:r>
    </w:p>
    <w:p>
      <w:pPr>
        <w:pStyle w:val="ListBullet"/>
        <w:keepLines w:val="1"/>
        <w:keepNext w:val="1"/>
        <w:widowControl w:val="1"/>
      </w:pPr>
      <w:r>
        <w:br/>
        <w:t xml:space="preserve">Los indicadores se centran en la existencia y aplicación de marcos legales, capacidades técnicas, estructuras organizativas, desarrollo de capacidades y cooperación internacional.[web:28][web:38]  </w:t>
        <w:br/>
      </w:r>
    </w:p>
    <w:p>
      <w:pPr>
        <w:pStyle w:val="ListBullet"/>
        <w:keepLines w:val="1"/>
        <w:keepNext w:val="1"/>
        <w:widowControl w:val="1"/>
      </w:pPr>
      <w:r>
        <w:br/>
        <w:t xml:space="preserve">Adaptación al ámbito empresarial </w:t>
        <w:br/>
      </w:r>
    </w:p>
    <w:p>
      <w:pPr>
        <w:pStyle w:val="ListBullet"/>
        <w:keepLines w:val="1"/>
        <w:keepNext w:val="1"/>
        <w:widowControl w:val="1"/>
      </w:pPr>
      <w:r>
        <w:t xml:space="preserve">La encuesta traslada estos pilares al nivel de organización, preguntando por estructuras internas, procesos, tecnología, talento y relaciones con terceros.  </w:t>
      </w:r>
    </w:p>
    <w:p>
      <w:pPr>
        <w:pStyle w:val="ListBullet"/>
        <w:keepLines w:val="1"/>
        <w:widowControl w:val="1"/>
      </w:pPr>
      <w:r>
        <w:t>El resultado se expresa en índices de madurez por pilar y una puntuación global de “compromiso y capacidad de ciberseguridad” a nivel empresa.</w:t>
      </w:r>
    </w:p>
    <w:p>
      <w:r>
        <w:t xml:space="preserve">Los indicadores se centran en la existencia y aplicación de marcos legales, capacidades técnicas, estructuras organizativas, desarrollo de capacidades y cooperación internacional.[web:28][web:38]  </w:t>
      </w:r>
    </w:p>
    <w:p>
      <w:r>
        <w:rPr>
          <w:b/>
        </w:rPr>
        <w:t>Adaptación al ámbito empresarial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3. Diseño del cuestionario</w:t>
      </w:r>
    </w:p>
    <w:p>
      <w:pPr>
        <w:pStyle w:val="Heading3"/>
        <w:keepNext/>
        <w:keepLines/>
      </w:pPr>
      <w:r>
        <w:t>3.1. Estructura</w:t>
      </w:r>
    </w:p>
    <w:p>
      <w:r>
        <w:t>La encuesta está estructurada en siete bloques:</w:t>
      </w:r>
    </w:p>
    <w:p>
      <w:pPr>
        <w:pStyle w:val="ListNumber"/>
        <w:keepLines w:val="1"/>
        <w:keepNext w:val="1"/>
        <w:widowControl w:val="1"/>
      </w:pPr>
      <w:r>
        <w:t xml:space="preserve">Datos generales de la organización  </w:t>
      </w:r>
    </w:p>
    <w:p>
      <w:pPr>
        <w:pStyle w:val="ListNumber"/>
        <w:keepLines w:val="1"/>
        <w:keepNext w:val="1"/>
        <w:widowControl w:val="1"/>
      </w:pPr>
      <w:r>
        <w:t xml:space="preserve">Pilar jurídico  </w:t>
      </w:r>
    </w:p>
    <w:p>
      <w:pPr>
        <w:pStyle w:val="ListNumber"/>
        <w:keepLines w:val="1"/>
        <w:keepNext w:val="1"/>
        <w:widowControl w:val="1"/>
      </w:pPr>
      <w:r>
        <w:t xml:space="preserve">Pilar técnico  </w:t>
      </w:r>
    </w:p>
    <w:p>
      <w:pPr>
        <w:pStyle w:val="ListNumber"/>
        <w:keepLines w:val="1"/>
        <w:keepNext w:val="1"/>
        <w:widowControl w:val="1"/>
      </w:pPr>
      <w:r>
        <w:t xml:space="preserve">Pilar organizativo  </w:t>
      </w:r>
    </w:p>
    <w:p>
      <w:pPr>
        <w:pStyle w:val="ListNumber"/>
        <w:keepLines w:val="1"/>
        <w:keepNext w:val="1"/>
        <w:widowControl w:val="1"/>
      </w:pPr>
      <w:r>
        <w:t xml:space="preserve">Pilar desarrollo de capacidades  </w:t>
      </w:r>
    </w:p>
    <w:p>
      <w:pPr>
        <w:pStyle w:val="ListNumber"/>
        <w:keepLines w:val="1"/>
        <w:keepNext w:val="1"/>
        <w:widowControl w:val="1"/>
      </w:pPr>
      <w:r>
        <w:t xml:space="preserve">Pilar cooperación  </w:t>
      </w:r>
    </w:p>
    <w:p>
      <w:pPr>
        <w:pStyle w:val="ListNumber"/>
        <w:keepLines w:val="1"/>
        <w:widowControl w:val="1"/>
      </w:pPr>
      <w:r>
        <w:t xml:space="preserve">Inversión, ROI y percepción de riesgo  </w:t>
      </w:r>
    </w:p>
    <w:p>
      <w:r>
        <w:t>Cada bloque contiene preguntas cerradas (respuesta múltiple) y algunas preguntas abiertas para capturar matices cualitativos.</w:t>
      </w:r>
    </w:p>
    <w:p>
      <w:pPr>
        <w:pStyle w:val="Heading3"/>
        <w:keepNext/>
        <w:keepLines/>
      </w:pPr>
      <w:r>
        <w:t>3.2. Escalas de respuesta</w:t>
      </w:r>
    </w:p>
    <w:p>
      <w:pPr>
        <w:pStyle w:val="ListBullet"/>
        <w:keepLines w:val="1"/>
        <w:keepNext w:val="1"/>
        <w:widowControl w:val="1"/>
      </w:pPr>
      <w:r>
        <w:t xml:space="preserve">Predominan escalas ordinales de 3–5 niveles que permiten mapear el grado de madurez (de “inexistente” a “avanzado”).  </w:t>
      </w:r>
    </w:p>
    <w:p>
      <w:pPr>
        <w:pStyle w:val="ListBullet"/>
        <w:keepLines w:val="1"/>
        <w:keepNext w:val="1"/>
        <w:widowControl w:val="1"/>
      </w:pPr>
      <w:r>
        <w:t xml:space="preserve">Se privilegia la respuesta autoevaluativa con descriptores claros para reducir la ambigüedad (por ejemplo, “documentado”, “probado”, “monitorizado”).  </w:t>
      </w:r>
    </w:p>
    <w:p>
      <w:pPr>
        <w:pStyle w:val="ListBullet"/>
        <w:keepLines w:val="1"/>
        <w:widowControl w:val="1"/>
      </w:pPr>
      <w:r>
        <w:t xml:space="preserve">El diseño se inspira en cuestionarios de madurez existentes (GCI, herramientas ENISA para pymes, encuestas industriales).[web:35][web:40][web:41]  </w:t>
      </w:r>
    </w:p>
    <w:p>
      <w:pPr>
        <w:pStyle w:val="Heading3"/>
        <w:keepNext/>
        <w:keepLines/>
      </w:pPr>
      <w:r>
        <w:t>3.3. Duración y logística</w:t>
      </w:r>
    </w:p>
    <w:p>
      <w:pPr>
        <w:pStyle w:val="ListBullet"/>
        <w:keepLines w:val="1"/>
        <w:keepNext w:val="1"/>
        <w:widowControl w:val="1"/>
      </w:pPr>
      <w:r>
        <w:t xml:space="preserve">Tiempo estimado de respuesta: 25–35 minutos (similar a herramientas de madurez ENISA).[web:35]  </w:t>
      </w:r>
    </w:p>
    <w:p>
      <w:pPr>
        <w:pStyle w:val="ListBullet"/>
        <w:keepLines w:val="1"/>
        <w:keepNext w:val="1"/>
        <w:widowControl w:val="1"/>
      </w:pPr>
      <w:r>
        <w:t xml:space="preserve">Recomendado que la responda una persona con visión transversal (CISO, CIO, responsable de riesgos) con apoyo de otras áreas si es necesario.  </w:t>
      </w:r>
    </w:p>
    <w:p>
      <w:pPr>
        <w:pStyle w:val="ListBullet"/>
        <w:keepLines w:val="1"/>
        <w:widowControl w:val="1"/>
      </w:pPr>
      <w:r>
        <w:t>Formato sugerido: versión digital (web o formulario) con posibilidad de guardar y continuar.</w:t>
      </w:r>
    </w:p>
    <w:p>
      <w:pPr>
        <w:pStyle w:val="Heading2"/>
        <w:keepNext/>
        <w:keepLines/>
      </w:pPr>
      <w:r>
        <w:rPr>
          <w:color w:val="0066CC"/>
        </w:rPr>
        <w:t>4. Población objetivo y muestreo</w:t>
      </w:r>
    </w:p>
    <w:p>
      <w:pPr>
        <w:pStyle w:val="Heading3"/>
        <w:keepNext/>
        <w:keepLines/>
      </w:pPr>
      <w:r>
        <w:t>4.1. Población objetivo</w:t>
      </w:r>
    </w:p>
    <w:p>
      <w:pPr>
        <w:pStyle w:val="ListBullet"/>
        <w:keepLines w:val="1"/>
        <w:keepNext w:val="1"/>
        <w:widowControl w:val="1"/>
      </w:pPr>
      <w:r>
        <w:t xml:space="preserve">Organizaciones públicas y privadas con actividad significativa en España, especialmente:  </w:t>
      </w:r>
    </w:p>
    <w:p>
      <w:pPr>
        <w:pStyle w:val="ListBullet"/>
        <w:keepLines w:val="1"/>
        <w:keepNext w:val="1"/>
        <w:widowControl w:val="1"/>
      </w:pPr>
      <w:r>
        <w:t xml:space="preserve">Operadores de servicios esenciales y entidades sujetas a NIS2 / ENS.  </w:t>
      </w:r>
    </w:p>
    <w:p>
      <w:pPr>
        <w:pStyle w:val="ListBullet"/>
        <w:keepLines w:val="1"/>
        <w:keepNext w:val="1"/>
        <w:widowControl w:val="1"/>
      </w:pPr>
      <w:r>
        <w:t xml:space="preserve">Empresas medianas y grandes en sectores críticos (energía, salud, finanzas, transporte, TIC).  </w:t>
      </w:r>
    </w:p>
    <w:p>
      <w:pPr>
        <w:pStyle w:val="ListBullet"/>
        <w:keepLines w:val="1"/>
        <w:widowControl w:val="1"/>
      </w:pPr>
      <w:r>
        <w:t xml:space="preserve">Pymes con alto grado de digitalización (en línea con los objetivos de España Digital 2026).[web:39]  </w:t>
      </w:r>
    </w:p>
    <w:p>
      <w:pPr>
        <w:pStyle w:val="Heading3"/>
        <w:keepNext/>
        <w:keepLines/>
      </w:pPr>
      <w:r>
        <w:t>4.2. Estrategia de muestreo</w:t>
      </w:r>
    </w:p>
    <w:p>
      <w:pPr>
        <w:pStyle w:val="ListBullet"/>
        <w:keepLines w:val="1"/>
        <w:keepNext w:val="1"/>
        <w:widowControl w:val="1"/>
      </w:pPr>
      <w:r>
        <w:t>Muestreo estratificado por:</w:t>
      </w:r>
    </w:p>
    <w:p>
      <w:pPr>
        <w:pStyle w:val="ListBullet"/>
        <w:keepLines w:val="1"/>
        <w:keepNext w:val="1"/>
        <w:widowControl w:val="1"/>
      </w:pPr>
      <w:r>
        <w:t xml:space="preserve">Sector de actividad.  </w:t>
      </w:r>
    </w:p>
    <w:p>
      <w:pPr>
        <w:pStyle w:val="ListBullet"/>
        <w:keepLines w:val="1"/>
        <w:keepNext w:val="1"/>
        <w:widowControl w:val="1"/>
      </w:pPr>
      <w:r>
        <w:t xml:space="preserve">Tamaño de empresa.  </w:t>
      </w:r>
    </w:p>
    <w:p>
      <w:pPr>
        <w:pStyle w:val="ListBullet"/>
        <w:keepLines w:val="1"/>
        <w:keepNext w:val="1"/>
        <w:widowControl w:val="1"/>
      </w:pPr>
      <w:r>
        <w:t xml:space="preserve">Naturaleza pública / privada.  </w:t>
      </w:r>
    </w:p>
    <w:p>
      <w:pPr>
        <w:pStyle w:val="ListBullet"/>
        <w:keepLines w:val="1"/>
        <w:widowControl w:val="1"/>
      </w:pPr>
      <w:r>
        <w:t>Objetivo: muestras mínimas por estrato que permitan análisis comparativos (idealmente ≥ 30 respuestas por estrato clave).</w:t>
      </w:r>
    </w:p>
    <w:p>
      <w:pPr>
        <w:pStyle w:val="Heading2"/>
        <w:keepNext/>
        <w:keepLines/>
      </w:pPr>
      <w:r>
        <w:rPr>
          <w:color w:val="0066CC"/>
        </w:rPr>
        <w:t>5. Construcción de índices de madurez</w:t>
      </w:r>
    </w:p>
    <w:p>
      <w:pPr>
        <w:pStyle w:val="Heading3"/>
        <w:keepNext/>
        <w:keepLines/>
      </w:pPr>
      <w:r>
        <w:t>5.1. Ponderación básica</w:t>
      </w:r>
    </w:p>
    <w:p>
      <w:pPr>
        <w:pStyle w:val="ListNumber"/>
        <w:keepLines w:val="1"/>
        <w:keepNext w:val="1"/>
        <w:widowControl w:val="1"/>
      </w:pPr>
      <w:r>
        <w:t xml:space="preserve">Asignar a cada opción de respuesta un valor numérico (por ejemplo, 0–4).  </w:t>
      </w:r>
    </w:p>
    <w:p>
      <w:pPr>
        <w:pStyle w:val="ListNumber"/>
        <w:keepLines w:val="1"/>
        <w:keepNext w:val="1"/>
        <w:widowControl w:val="1"/>
      </w:pPr>
      <w:r>
        <w:t xml:space="preserve">Agrupar las preguntas por pilar GCI:  </w:t>
      </w:r>
    </w:p>
    <w:p>
      <w:pPr>
        <w:pStyle w:val="ListNumber"/>
        <w:keepLines w:val="1"/>
        <w:keepNext w:val="1"/>
        <w:widowControl w:val="1"/>
      </w:pPr>
      <w:r>
        <w:t xml:space="preserve">Legal  </w:t>
      </w:r>
    </w:p>
    <w:p>
      <w:pPr>
        <w:pStyle w:val="ListNumber"/>
        <w:keepLines w:val="1"/>
        <w:keepNext w:val="1"/>
        <w:widowControl w:val="1"/>
      </w:pPr>
      <w:r>
        <w:t xml:space="preserve">Técnico  </w:t>
      </w:r>
    </w:p>
    <w:p>
      <w:pPr>
        <w:pStyle w:val="ListNumber"/>
        <w:keepLines w:val="1"/>
        <w:keepNext w:val="1"/>
        <w:widowControl w:val="1"/>
      </w:pPr>
      <w:r>
        <w:t xml:space="preserve">Organizativo  </w:t>
      </w:r>
    </w:p>
    <w:p>
      <w:pPr>
        <w:pStyle w:val="ListNumber"/>
        <w:keepLines w:val="1"/>
        <w:keepNext w:val="1"/>
        <w:widowControl w:val="1"/>
      </w:pPr>
      <w:r>
        <w:t xml:space="preserve">Desarrollo de capacidades  </w:t>
      </w:r>
    </w:p>
    <w:p>
      <w:pPr>
        <w:pStyle w:val="ListNumber"/>
        <w:keepLines w:val="1"/>
        <w:keepNext w:val="1"/>
        <w:widowControl w:val="1"/>
      </w:pPr>
      <w:r>
        <w:br/>
        <w:t xml:space="preserve">Cooperación  </w:t>
        <w:br/>
      </w:r>
    </w:p>
    <w:p>
      <w:pPr>
        <w:pStyle w:val="ListNumber"/>
        <w:keepLines w:val="1"/>
        <w:keepNext w:val="1"/>
        <w:widowControl w:val="1"/>
      </w:pPr>
      <w:r>
        <w:br/>
        <w:t>Calcular, para cada organización:</w:t>
        <w:br/>
      </w:r>
    </w:p>
    <w:p>
      <w:pPr>
        <w:pStyle w:val="ListNumber"/>
        <w:keepLines w:val="1"/>
        <w:keepNext w:val="1"/>
        <w:widowControl w:val="1"/>
      </w:pPr>
      <w:r>
        <w:t xml:space="preserve">Puntuación por pilar = media (o suma normalizada) de las respuestas asociadas.  </w:t>
      </w:r>
    </w:p>
    <w:p>
      <w:pPr>
        <w:pStyle w:val="ListNumber"/>
        <w:keepLines w:val="1"/>
        <w:widowControl w:val="1"/>
      </w:pPr>
      <w:r>
        <w:t>Puntuación global = media ponderada de los cinco pilares.</w:t>
      </w:r>
    </w:p>
    <w:p>
      <w:r>
        <w:t xml:space="preserve">Cooperación  </w:t>
      </w:r>
    </w:p>
    <w:p>
      <w:r>
        <w:t>Calcular, para cada organización:</w:t>
      </w:r>
    </w:p>
    <w:p>
      <w:r>
        <w:t>Se recomienda comenzar con ponderaciones iguales por pilar y ajustar tras análisis empírico (por ejemplo, mediante análisis factorial o consultas a un panel de expertos).</w:t>
      </w:r>
    </w:p>
    <w:p>
      <w:pPr>
        <w:pStyle w:val="Heading3"/>
        <w:keepNext/>
        <w:keepLines/>
      </w:pPr>
      <w:r>
        <w:t>5.2. Niveles de madurez</w:t>
      </w:r>
    </w:p>
    <w:p>
      <w:r>
        <w:t>Definir niveles de madurez por pilar inspirados en esquemas de 4–5 niveles:</w:t>
      </w:r>
    </w:p>
    <w:p>
      <w:pPr>
        <w:pStyle w:val="ListBullet"/>
        <w:keepLines w:val="1"/>
        <w:keepNext w:val="1"/>
        <w:widowControl w:val="1"/>
      </w:pPr>
      <w:r>
        <w:t xml:space="preserve">Nivel 0 – Inexistente  </w:t>
      </w:r>
    </w:p>
    <w:p>
      <w:pPr>
        <w:pStyle w:val="ListBullet"/>
        <w:keepLines w:val="1"/>
        <w:keepNext w:val="1"/>
        <w:widowControl w:val="1"/>
      </w:pPr>
      <w:r>
        <w:t xml:space="preserve">Nivel 1 – Inicial / ad hoc  </w:t>
      </w:r>
    </w:p>
    <w:p>
      <w:pPr>
        <w:pStyle w:val="ListBullet"/>
        <w:keepLines w:val="1"/>
        <w:keepNext w:val="1"/>
        <w:widowControl w:val="1"/>
      </w:pPr>
      <w:r>
        <w:t xml:space="preserve">Nivel 2 – Definido  </w:t>
      </w:r>
    </w:p>
    <w:p>
      <w:pPr>
        <w:pStyle w:val="ListBullet"/>
        <w:keepLines w:val="1"/>
        <w:keepNext w:val="1"/>
        <w:widowControl w:val="1"/>
      </w:pPr>
      <w:r>
        <w:t xml:space="preserve">Nivel 3 – Gestionado  </w:t>
      </w:r>
    </w:p>
    <w:p>
      <w:pPr>
        <w:pStyle w:val="ListBullet"/>
        <w:keepLines w:val="1"/>
        <w:widowControl w:val="1"/>
      </w:pPr>
      <w:r>
        <w:t xml:space="preserve">Nivel 4 – Optimizado  </w:t>
      </w:r>
    </w:p>
    <w:p>
      <w:r>
        <w:t>Cada rango de puntuación se mapea a un nivel, permitiendo generar perfiles tipo “Pilar técnico en nivel 3, pilar de capacidades en nivel 1”.</w:t>
      </w:r>
    </w:p>
    <w:p>
      <w:pPr>
        <w:pStyle w:val="Heading2"/>
        <w:keepNext/>
        <w:keepLines/>
      </w:pPr>
      <w:r>
        <w:rPr>
          <w:color w:val="0066CC"/>
        </w:rPr>
        <w:t>6. Análisis de resultados</w:t>
      </w:r>
    </w:p>
    <w:p>
      <w:pPr>
        <w:pStyle w:val="Heading3"/>
        <w:keepNext/>
        <w:keepLines/>
      </w:pPr>
      <w:r>
        <w:t>6.1. Análisis descriptivo</w:t>
      </w:r>
    </w:p>
    <w:p>
      <w:pPr>
        <w:pStyle w:val="ListBullet"/>
        <w:keepLines w:val="1"/>
        <w:keepNext w:val="1"/>
        <w:widowControl w:val="1"/>
      </w:pPr>
      <w:r>
        <w:t xml:space="preserve">Distribución de niveles de madurez por pilar y sector.  </w:t>
      </w:r>
    </w:p>
    <w:p>
      <w:pPr>
        <w:pStyle w:val="ListBullet"/>
        <w:keepLines w:val="1"/>
        <w:keepNext w:val="1"/>
        <w:widowControl w:val="1"/>
      </w:pPr>
      <w:r>
        <w:t xml:space="preserve">Comparación entre tamaños de empresa.  </w:t>
      </w:r>
    </w:p>
    <w:p>
      <w:pPr>
        <w:pStyle w:val="ListBullet"/>
        <w:keepLines w:val="1"/>
        <w:widowControl w:val="1"/>
      </w:pPr>
      <w:r>
        <w:t>Identificación de pilares “fuertes” y “débiles” por segmento.</w:t>
      </w:r>
    </w:p>
    <w:p>
      <w:pPr>
        <w:pStyle w:val="Heading3"/>
        <w:keepNext/>
        <w:keepLines/>
      </w:pPr>
      <w:r>
        <w:t>6.2. Análisis comparativo y benchmarking</w:t>
      </w:r>
    </w:p>
    <w:p>
      <w:pPr>
        <w:pStyle w:val="ListBullet"/>
        <w:keepLines w:val="1"/>
        <w:keepNext w:val="1"/>
        <w:widowControl w:val="1"/>
      </w:pPr>
      <w:r>
        <w:t xml:space="preserve">Construcción de gráficos radar por empresa / sector para visualizar diferencias entre pilares.  </w:t>
      </w:r>
    </w:p>
    <w:p>
      <w:pPr>
        <w:pStyle w:val="ListBullet"/>
        <w:keepLines w:val="1"/>
        <w:widowControl w:val="1"/>
      </w:pPr>
      <w:r>
        <w:t xml:space="preserve">Comparación con metas alineadas con políticas nacionales (ej. objetivos de España Digital 2026 en ciberseguridad).[web:39]  </w:t>
      </w:r>
    </w:p>
    <w:p>
      <w:pPr>
        <w:pStyle w:val="Heading3"/>
        <w:keepNext/>
        <w:keepLines/>
      </w:pPr>
      <w:r>
        <w:t>6.3. ROI y correlaciones</w:t>
      </w:r>
    </w:p>
    <w:p>
      <w:pPr>
        <w:pStyle w:val="ListBullet"/>
        <w:keepLines w:val="1"/>
        <w:keepNext w:val="1"/>
        <w:widowControl w:val="1"/>
      </w:pPr>
      <w:r>
        <w:t>Relacionar la madurez por pilar con:</w:t>
      </w:r>
    </w:p>
    <w:p>
      <w:pPr>
        <w:pStyle w:val="ListBullet"/>
        <w:keepLines w:val="1"/>
        <w:keepNext w:val="1"/>
        <w:widowControl w:val="1"/>
      </w:pPr>
      <w:r>
        <w:t xml:space="preserve">Nivel de inversión en ciberseguridad (porcentaje del presupuesto TI).  </w:t>
      </w:r>
    </w:p>
    <w:p>
      <w:pPr>
        <w:pStyle w:val="ListBullet"/>
        <w:keepLines w:val="1"/>
        <w:keepNext w:val="1"/>
        <w:widowControl w:val="1"/>
      </w:pPr>
      <w:r>
        <w:t xml:space="preserve">Número de incidentes significativos (si se recoge en ampliaciones de la encuesta).  </w:t>
      </w:r>
    </w:p>
    <w:p>
      <w:pPr>
        <w:pStyle w:val="ListBullet"/>
        <w:keepLines w:val="1"/>
        <w:widowControl w:val="1"/>
      </w:pPr>
      <w:r>
        <w:t xml:space="preserve">Percepción de preparación ante amenazas (auto‑evaluación).  </w:t>
      </w:r>
    </w:p>
    <w:p>
      <w:pPr>
        <w:pStyle w:val="Heading2"/>
        <w:keepNext/>
        <w:keepLines/>
      </w:pPr>
      <w:r>
        <w:rPr>
          <w:color w:val="0066CC"/>
        </w:rPr>
        <w:t>7. Ética, confidencialidad y uso de datos</w:t>
      </w:r>
    </w:p>
    <w:p>
      <w:pPr>
        <w:pStyle w:val="ListBullet"/>
        <w:keepLines w:val="1"/>
        <w:keepNext w:val="1"/>
        <w:widowControl w:val="1"/>
      </w:pPr>
      <w:r>
        <w:t xml:space="preserve">Garantizar anonimato o seudonimización en el tratamiento de respuestas.  </w:t>
      </w:r>
    </w:p>
    <w:p>
      <w:pPr>
        <w:pStyle w:val="ListBullet"/>
        <w:keepLines w:val="1"/>
        <w:keepNext w:val="1"/>
        <w:widowControl w:val="1"/>
      </w:pPr>
      <w:r>
        <w:t xml:space="preserve">Informar a los participantes del uso de los resultados (informes agregados, benchmarks, recomendaciones).  </w:t>
      </w:r>
    </w:p>
    <w:p>
      <w:pPr>
        <w:pStyle w:val="ListBullet"/>
        <w:keepLines w:val="1"/>
        <w:widowControl w:val="1"/>
      </w:pPr>
      <w:r>
        <w:t>Evitar el uso de los datos para fines punitivos o estrictamente comerciales; privilegiar el enfoque de mejora continua.</w:t>
      </w:r>
    </w:p>
    <w:p>
      <w:pPr>
        <w:pStyle w:val="Heading2"/>
        <w:keepNext/>
        <w:keepLines/>
      </w:pPr>
      <w:r>
        <w:rPr>
          <w:color w:val="0066CC"/>
        </w:rPr>
        <w:t>8. Actualización del instrumento</w:t>
      </w:r>
    </w:p>
    <w:p>
      <w:r>
        <w:t>La encuesta debe revisarse, al menos, cada dos años para:</w:t>
      </w:r>
    </w:p>
    <w:p>
      <w:pPr>
        <w:pStyle w:val="ListBullet"/>
        <w:keepLines w:val="1"/>
        <w:keepNext w:val="1"/>
        <w:widowControl w:val="1"/>
      </w:pPr>
      <w:r>
        <w:t xml:space="preserve">Alinearla con nuevas versiones del GCI y sus indicadores.[web:33]  </w:t>
      </w:r>
    </w:p>
    <w:p>
      <w:pPr>
        <w:pStyle w:val="ListBullet"/>
        <w:keepLines w:val="1"/>
        <w:keepNext w:val="1"/>
        <w:widowControl w:val="1"/>
      </w:pPr>
      <w:r>
        <w:t xml:space="preserve">Incorporar cambios regulatorios (NIS2, ENS, DORA, normativa sectorial).  </w:t>
      </w:r>
    </w:p>
    <w:p>
      <w:pPr>
        <w:pStyle w:val="ListBullet"/>
        <w:keepLines w:val="1"/>
        <w:widowControl w:val="1"/>
      </w:pPr>
      <w:r>
        <w:t xml:space="preserve">Introducir nuevos dominios (IA, OT, cadena de suministro) según la evolución del panorama de amenazas y las prácticas de referencia.[web:40][web:41]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