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Narrativa Explicativa del Modelo de Encuesta</w:t>
      </w:r>
    </w:p>
    <w:p>
      <w:pPr>
        <w:pStyle w:val="Heading2"/>
        <w:keepNext/>
        <w:keepLines/>
      </w:pPr>
      <w:r>
        <w:rPr>
          <w:color w:val="0066CC"/>
        </w:rPr>
        <w:t>1. De los estados a las empresas: el espíritu del GCI</w:t>
      </w:r>
    </w:p>
    <w:p>
      <w:r>
        <w:t xml:space="preserve">El Global Cybersecurity Index nació para medir el compromiso de los estados con la ciberseguridad.[web:28][web:38] No para exhibir medallas, sino para poner luz sobre las costuras jurídicas, técnicas y organizativas que sostienen –o no– el mundo digital.  </w:t>
      </w:r>
    </w:p>
    <w:p>
      <w:r>
        <w:t xml:space="preserve">Trasladar ese espíritu al ámbito empresarial implica aceptar una premisa incómoda: una empresa no es un mini‑estado, pero su impacto en la superficie de ataque nacional puede ser tan decisivo como el de un ministerio mediano. La encuesta que proponemos es, en cierto modo, un “GCI de bolsillo” para organizaciones que quieren saber dónde están de verdad.  </w:t>
      </w:r>
    </w:p>
    <w:p>
      <w:pPr>
        <w:pStyle w:val="Heading2"/>
        <w:keepNext/>
        <w:keepLines/>
      </w:pPr>
      <w:r>
        <w:rPr>
          <w:color w:val="0066CC"/>
        </w:rPr>
        <w:t>2. Los cinco pilares en clave corporativa</w:t>
      </w:r>
    </w:p>
    <w:p>
      <w:r>
        <w:t>Los pilares del GCI se adaptan sorprendentemente bien al mundo empresarial:</w:t>
      </w:r>
    </w:p>
    <w:p>
      <w:pPr>
        <w:pStyle w:val="ListBullet"/>
        <w:keepLines w:val="1"/>
        <w:keepNext w:val="1"/>
        <w:widowControl w:val="1"/>
      </w:pPr>
      <w:r>
        <w:t xml:space="preserve">El pilar jurídico ya no habla solo de leyes nacionales, sino de contratos inteligentes (no en la blockchain, sino en la letra pequeña), cláusulas de seguridad y capacidad para tratar la evidencia digital sin hacerla jurídicamente inservible.  </w:t>
      </w:r>
    </w:p>
    <w:p>
      <w:pPr>
        <w:pStyle w:val="ListBullet"/>
        <w:keepLines w:val="1"/>
        <w:keepNext w:val="1"/>
        <w:widowControl w:val="1"/>
      </w:pPr>
      <w:r>
        <w:t xml:space="preserve">El pilar técnico baja de la estratosfera conceptual a la prosa diaria de inventarios, segmentación, SOC, backups y la eterna lucha entre seguridad y usabilidad.  </w:t>
      </w:r>
    </w:p>
    <w:p>
      <w:pPr>
        <w:pStyle w:val="ListBullet"/>
        <w:keepLines w:val="1"/>
        <w:keepNext w:val="1"/>
        <w:widowControl w:val="1"/>
      </w:pPr>
      <w:r>
        <w:t xml:space="preserve">El pilar organizativo retrata la vieja cuestión: ¿la ciberseguridad es una nota a pie de página del CIO o un capítulo completo en la estrategia de negocio?  </w:t>
      </w:r>
    </w:p>
    <w:p>
      <w:pPr>
        <w:pStyle w:val="ListBullet"/>
        <w:keepLines w:val="1"/>
        <w:keepNext w:val="1"/>
        <w:widowControl w:val="1"/>
      </w:pPr>
      <w:r>
        <w:t xml:space="preserve">El pilar de capacidades nos recuerda que las tecnologías se compran; el talento se cultiva (y, a ser posible, no se fuga tan rápido).  </w:t>
      </w:r>
    </w:p>
    <w:p>
      <w:pPr>
        <w:pStyle w:val="ListBullet"/>
        <w:keepLines w:val="1"/>
        <w:widowControl w:val="1"/>
      </w:pPr>
      <w:r>
        <w:t xml:space="preserve">El pilar de cooperación exige responder a una pregunta políticamente incorrecta: ¿compartimos información de incidentes o solo confidencias en pasillos de congresos?  </w:t>
      </w:r>
    </w:p>
    <w:p>
      <w:pPr>
        <w:pStyle w:val="Heading2"/>
        <w:keepNext/>
        <w:keepLines/>
      </w:pPr>
      <w:r>
        <w:rPr>
          <w:color w:val="0066CC"/>
        </w:rPr>
        <w:t>3. Una encuesta no es una confesión, pero casi</w:t>
      </w:r>
    </w:p>
    <w:p>
      <w:r>
        <w:t xml:space="preserve">El cuestionario está diseñado para ser suficientemente incómodo como para revelar brechas, pero lo bastante amable como para que alguien quiera completarlo. Las preguntas no pretenden atrapar al encuestado, sino ofrecerle un espejo con cinco caras.  </w:t>
      </w:r>
    </w:p>
    <w:p>
      <w:r>
        <w:t>Cada respuesta es un pequeño vector de madurez:</w:t>
      </w:r>
      <w:r/>
      <w:r>
        <w:br/>
        <w:t>- “No existe” indica una ausencia que no siempre es un pecado, pero casi siempre es un riesgo.</w:t>
      </w:r>
      <w:r/>
      <w:r>
        <w:br/>
        <w:t xml:space="preserve">- “Existen procesos documentados y probados” suena menos heroico que “apagamos fuegos cada semana”, pero en ciberseguridad la épica suele llegar tarde y mal.  </w:t>
      </w:r>
    </w:p>
    <w:p>
      <w:r>
        <w:t xml:space="preserve">La narrativa de los resultados debe huir de la culpabilización y abrazar la </w:t>
      </w:r>
      <w:r>
        <w:rPr>
          <w:b/>
        </w:rPr>
        <w:t>estrategia de mejora por capas</w:t>
      </w:r>
      <w:r>
        <w:t>:</w:t>
      </w:r>
      <w:r/>
      <w:r>
        <w:br/>
        <w:t>1. Ver.</w:t>
      </w:r>
      <w:r/>
      <w:r>
        <w:br/>
        <w:t>2. Comprender.</w:t>
      </w:r>
      <w:r/>
      <w:r>
        <w:br/>
        <w:t>3. Priorizar.</w:t>
      </w:r>
      <w:r/>
      <w:r>
        <w:br/>
        <w:t xml:space="preserve">4. Actuar.  </w:t>
      </w:r>
    </w:p>
    <w:p>
      <w:pPr>
        <w:pStyle w:val="Heading2"/>
        <w:keepNext/>
        <w:keepLines/>
      </w:pPr>
      <w:r>
        <w:rPr>
          <w:color w:val="0066CC"/>
        </w:rPr>
        <w:t>4. De los datos al relato estratégico</w:t>
      </w:r>
    </w:p>
    <w:p>
      <w:r>
        <w:t>Bien utilizada, esta encuesta permite ir más allá de un diagnóstico frío:</w:t>
      </w:r>
    </w:p>
    <w:p>
      <w:pPr>
        <w:pStyle w:val="ListBullet"/>
        <w:keepLines w:val="1"/>
        <w:keepNext w:val="1"/>
        <w:widowControl w:val="1"/>
      </w:pPr>
      <w:r>
        <w:t xml:space="preserve">Una organización con alto pilar técnico pero bajo pilar organizativo vive en el síndrome del “SOC sin estrategia”: mucha consola, poca dirección.  </w:t>
      </w:r>
    </w:p>
    <w:p>
      <w:pPr>
        <w:pStyle w:val="ListBullet"/>
        <w:keepLines w:val="1"/>
        <w:keepNext w:val="1"/>
        <w:widowControl w:val="1"/>
      </w:pPr>
      <w:r>
        <w:t xml:space="preserve">Una organización con alto pilar jurídico pero bajo pilar de capacidades corre el riesgo de ser impecable en papeles y vulnerable en prácticas.  </w:t>
      </w:r>
    </w:p>
    <w:p>
      <w:pPr>
        <w:pStyle w:val="ListBullet"/>
        <w:keepLines w:val="1"/>
        <w:widowControl w:val="1"/>
      </w:pPr>
      <w:r>
        <w:t xml:space="preserve">Cuando el pilar de cooperación está rezagado, solemos encontrar empresas valientes hacia dentro, tímidas hacia fuera, que preferirían que los incidentes fueran fenómenos meteorológicos privados.  </w:t>
      </w:r>
    </w:p>
    <w:p>
      <w:r>
        <w:t>La clave está en contar una historia corporativa en la que la ciberseguridad deje de ser un apéndice técnico para convertirse en condición de posibilidad del propio negocio. La encuesta, entonces, ya no es un trámite: es el primer capítulo de un plan.</w:t>
      </w:r>
    </w:p>
    <w:p>
      <w:pPr>
        <w:pStyle w:val="Heading2"/>
        <w:keepNext/>
        <w:keepLines/>
      </w:pPr>
      <w:r>
        <w:rPr>
          <w:color w:val="0066CC"/>
        </w:rPr>
        <w:t>5. ROI, o cómo hablar de amor en lenguaje financiero</w:t>
      </w:r>
    </w:p>
    <w:p>
      <w:r>
        <w:t xml:space="preserve">Hablamos de retorno de inversión en ciberseguridad sabiendo que la métrica perfecta no existe, pero las aproximaciones útiles sí. En un contexto donde informes como el “Global Digital Trust Insights 2026” señalan que solo una minoría de empresas se siente realmente preparada frente a todas las amenazas, mientras la mayoría incrementa sus presupuestos de seguridad,[web:34] la pregunta ya no es si invertir, sino </w:t>
      </w:r>
      <w:r>
        <w:rPr>
          <w:b/>
        </w:rPr>
        <w:t>cómo justificar y optimizar</w:t>
      </w:r>
      <w:r>
        <w:t xml:space="preserve"> esa inversión.  </w:t>
      </w:r>
    </w:p>
    <w:p>
      <w:r>
        <w:t xml:space="preserve">La encuesta incorpora preguntas sobre presupuesto, evolución de la inversión y formas de medir el valor generado (menos incidentes, menos tiempo de parada, menos sustos en el consejo). No se trata de traducir todo a euros, pero sí de demostrar que la ciberseguridad compite dignamente en la liga de las decisiones estratégicas.  </w:t>
      </w:r>
    </w:p>
    <w:p>
      <w:pPr>
        <w:pStyle w:val="Heading2"/>
        <w:keepNext/>
        <w:keepLines/>
      </w:pPr>
      <w:r>
        <w:rPr>
          <w:color w:val="0066CC"/>
        </w:rPr>
        <w:t>6. Una herramienta viva</w:t>
      </w:r>
    </w:p>
    <w:p>
      <w:r>
        <w:t>Por último, la encuesta está pensada como un instrumento vivo, susceptible de ser revisado a medida que:</w:t>
      </w:r>
    </w:p>
    <w:p>
      <w:pPr>
        <w:pStyle w:val="ListBullet"/>
        <w:keepLines w:val="1"/>
        <w:keepNext w:val="1"/>
        <w:widowControl w:val="1"/>
      </w:pPr>
      <w:r>
        <w:t xml:space="preserve">Evolucione el GCI, con nuevas ediciones y ajustes metodológicos.[web:33]  </w:t>
      </w:r>
    </w:p>
    <w:p>
      <w:pPr>
        <w:pStyle w:val="ListBullet"/>
        <w:keepLines w:val="1"/>
        <w:keepNext w:val="1"/>
        <w:widowControl w:val="1"/>
      </w:pPr>
      <w:r>
        <w:t xml:space="preserve">Cambien los marcos normativos (NIS2, ENS, DORA, etc.).[web:40]  </w:t>
      </w:r>
    </w:p>
    <w:p>
      <w:pPr>
        <w:pStyle w:val="ListBullet"/>
        <w:keepLines w:val="1"/>
        <w:widowControl w:val="1"/>
      </w:pPr>
      <w:r>
        <w:t xml:space="preserve">Se consoliden tendencias como IA generativa, protección de OT, resiliencia de la cadena de suministro.[web:40][web:41]  </w:t>
      </w:r>
    </w:p>
    <w:p>
      <w:r>
        <w:t>En otras palabras, no es una tabla de la ley; es una bitácora. Una que, si se rellena con honestidad, puede evitar algún naufragio y quizá inspirar nuevas cartas de navegación, dentro y fuera de España.</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