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 y Pilares GCI</w:t>
      </w:r>
    </w:p>
    <w:p>
      <w:r>
        <w:t>Nota: el mapeo es orientativo y se centra en marcos de referencia frecuentes (GCI, NIS2, ENS, RGPD/LOPD‑GDD, ISO 27001, NIST CSF).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 (Encuesta)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Pilar GCI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/ Referencias relevantes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0.1–0.5 Datos generales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 (contexto)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Perfil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Segmentación analítica, enfoque ENISA pymes.[web:35]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 Inventario normativo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de obligaciones legales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Legal; NIS2 art. 20; ENS principios esenciales; ISO 27001 A.5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1.2 Análisis de brechas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Legal/Org; NIS2 (gestión riesgos); ISO 27001 ciclo PDCA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1.3 Integra legal‑ciber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integrada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Organizational; RGPD; ENS organización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1.4 Evidencia digital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/ 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Cadena de custodia, forense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Legal/Tech; Budapest; NIS2 respuesta 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1.5 Cláusulas de ciber en contratos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/ Cooperation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en la 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(supply chain); ENS; ISO 27036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1.6 Formación jurídica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/ Capacity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equipo legal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Capacity; programas formativos nacionales.[web:38]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 Inventario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CMDB, activos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(ID.AM); ISO 27001 A.5;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 Segmentación / Zero Trust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Arquitectura, control de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Technical; NIST Zero Trust; NIS2 requisitos técnicos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 Inventario de nube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servicios cloud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ENS; NIS2; ISO 27017; cláusulas de ciberseguridad en proveedores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2.4 Monitorización y SOC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Technical; NIS2; NIST CSF (DE); ISO 27001 A.8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2.5 Automatización (SOAR)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orquestada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(RS); prácticas avanzadas SOC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2.6 Copias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Resiliencia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(PR.IP, PR.DS); ISO 27001 A.8;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2.7 OT/ICS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industrial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sectores críticos; IEC 62443; GCI Technical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2.8 Gobernanza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Technical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seguro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emergentes; referencias WEF, ENISA.[web:40][web:41]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 Estrategia de ciber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Alineación con 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Organizational; NIS2; ENS; NIST CSF (Governance)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 Rol del 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Responsabilidades, reporting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Organizational; mejores prácticas de gobierno corporativo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3.3 Reporte al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Supervisión de alto nivel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(gobernanza); principios de “digital operational resilience”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3.4 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ciber‑riesgos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NIS2; ISO 27005; NIST RMF; ENS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3.5 BCP/DRP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 de 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NIS2; ISO 22301; NIST CSF (RS.RP, RC)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3.6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formal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Organizational; NIS2; NIST CSF (RS)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 Formación empleados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Concienciación y 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Capacity; ENISA campañas; ISO 27001 A.6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4.2 Simulacros de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Capacity / Technical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Ingeniería social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industriales; NIST CSF (PR.AT)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4.3 Formación directivos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Capacity / 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Ciber en el consejo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responsabilidad directiva; GCI Organizational/Capacity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4.4 Dimensionamiento equipo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Recursos humanos especializados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Capacity; políticas de talento en ciberseguridad.[web:39][web:41]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4.5 Subcontratación servicios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de sourcing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(supply chain); ISO 27036; GCI Cooperation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4.6 Plan de desarrollo profesional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Certificaciones y carrera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Capacity; frameworks de competencias (ENISA, etc.)[web:35]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 Redes y foros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Cooperation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Participación sectorial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Cooperation; foros nacionales/UE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 Intercambio de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Cooperation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Sharing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NIS2; CSIRT networks; GCI Cooperation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5.3 Ejercicios conjuntos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Cooperation / 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Ejercicios multi‑actor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Cooperation; ENISA ejercicios “Cyber Europe”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5.4 Cooperación interna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Organizational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Trabajo transversal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GCI Organizational; buenas prácticas de gobierno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6.1–6.4 Inversión y ROI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Org / Capacity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Presupuesto, valor, percepción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Referencias industriales (PwC, Deloitte) a presupuestos y preparación.[web:34][web:41]</w:t>
            </w:r>
          </w:p>
        </w:tc>
      </w:tr>
    </w:tbl>
    <w:p/>
    <w:p>
      <w:r>
        <w:t>Este mapeo permite:</w:t>
      </w:r>
    </w:p>
    <w:p>
      <w:pPr>
        <w:pStyle w:val="ListBullet"/>
        <w:keepLines w:val="1"/>
        <w:keepNext w:val="1"/>
        <w:widowControl w:val="1"/>
      </w:pPr>
      <w:r>
        <w:t xml:space="preserve">Conectar cada respuesta con obligaciones y buenas prácticas reconocidas.  </w:t>
      </w:r>
    </w:p>
    <w:p>
      <w:pPr>
        <w:pStyle w:val="ListBullet"/>
        <w:keepLines w:val="1"/>
        <w:keepNext w:val="1"/>
        <w:widowControl w:val="1"/>
      </w:pPr>
      <w:r>
        <w:t xml:space="preserve">Generar informes alineados con el lenguaje de reguladores y auditores.  </w:t>
      </w:r>
    </w:p>
    <w:p>
      <w:pPr>
        <w:pStyle w:val="ListBullet"/>
        <w:keepLines w:val="1"/>
        <w:widowControl w:val="1"/>
      </w:pPr>
      <w:r>
        <w:t xml:space="preserve">Alimentar cuadros de mando nacionales o sectoriales congruentes con el espíritu del GCI.[web:28][web:33]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