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Índice Global de Madurez (IGM) y ROI</w:t>
      </w:r>
    </w:p>
    <w:p>
      <w:r>
        <w:t>Esta plantilla está pensada para implementarse en Excel (o equivalente) a partir de las respuestas de la encuesta.</w:t>
      </w:r>
    </w:p>
    <w:p>
      <w:pPr>
        <w:pStyle w:val="Heading2"/>
        <w:keepNext/>
        <w:keepLines/>
      </w:pPr>
      <w:r>
        <w:rPr>
          <w:color w:val="0066CC"/>
        </w:rPr>
        <w:t>1. Estructura de hojas</w:t>
      </w:r>
    </w:p>
    <w:p>
      <w:pPr>
        <w:pStyle w:val="Heading3"/>
        <w:keepNext/>
        <w:keepLines/>
      </w:pPr>
      <w:r>
        <w:t>Hoja 1 – Respuestas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ID_Organización  </w:t>
      </w:r>
    </w:p>
    <w:p>
      <w:pPr>
        <w:pStyle w:val="ListBullet"/>
        <w:keepLines w:val="1"/>
        <w:keepNext w:val="1"/>
        <w:widowControl w:val="1"/>
      </w:pPr>
      <w:r>
        <w:t xml:space="preserve">B: Sector  </w:t>
      </w:r>
    </w:p>
    <w:p>
      <w:pPr>
        <w:pStyle w:val="ListBullet"/>
        <w:keepLines w:val="1"/>
        <w:keepNext w:val="1"/>
        <w:widowControl w:val="1"/>
      </w:pPr>
      <w:r>
        <w:t xml:space="preserve">C: Tamaño  </w:t>
      </w:r>
    </w:p>
    <w:p>
      <w:pPr>
        <w:pStyle w:val="ListBullet"/>
        <w:keepLines w:val="1"/>
        <w:keepNext w:val="1"/>
        <w:widowControl w:val="1"/>
      </w:pPr>
      <w:r>
        <w:t xml:space="preserve">D: Pregunta  </w:t>
      </w:r>
    </w:p>
    <w:p>
      <w:pPr>
        <w:pStyle w:val="ListBullet"/>
        <w:keepLines w:val="1"/>
        <w:keepNext w:val="1"/>
        <w:widowControl w:val="1"/>
      </w:pPr>
      <w:r>
        <w:t xml:space="preserve">E: Respuesta_Texto  </w:t>
      </w:r>
    </w:p>
    <w:p>
      <w:pPr>
        <w:pStyle w:val="ListBullet"/>
        <w:keepLines w:val="1"/>
        <w:widowControl w:val="1"/>
      </w:pPr>
      <w:r>
        <w:t xml:space="preserve">F: Respuesta_Valor (0–4)  </w:t>
      </w:r>
    </w:p>
    <w:p>
      <w:r>
        <w:t>Cada fila representa una respuesta a una pregunta para una organización.</w:t>
      </w:r>
    </w:p>
    <w:p>
      <w:pPr>
        <w:pStyle w:val="Heading3"/>
        <w:keepNext/>
        <w:keepLines/>
      </w:pPr>
      <w:r>
        <w:t>Hoja 2 – Preguntas_Ponderaciones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Pregunta  </w:t>
      </w:r>
    </w:p>
    <w:p>
      <w:pPr>
        <w:pStyle w:val="ListBullet"/>
        <w:keepLines w:val="1"/>
        <w:keepNext w:val="1"/>
        <w:widowControl w:val="1"/>
      </w:pPr>
      <w:r>
        <w:t xml:space="preserve">B: Pilar_GCI (Legal / Technical / Organizational / Capacity / Cooperation)  </w:t>
      </w:r>
    </w:p>
    <w:p>
      <w:pPr>
        <w:pStyle w:val="ListBullet"/>
        <w:keepLines w:val="1"/>
        <w:keepNext w:val="1"/>
        <w:widowControl w:val="1"/>
      </w:pPr>
      <w:r>
        <w:t xml:space="preserve">C: Peso_Pilar (ej. 1)  </w:t>
      </w:r>
    </w:p>
    <w:p>
      <w:pPr>
        <w:pStyle w:val="ListBullet"/>
        <w:keepLines w:val="1"/>
        <w:keepNext w:val="1"/>
        <w:widowControl w:val="1"/>
      </w:pPr>
      <w:r>
        <w:t xml:space="preserve">D: Peso_Pregunta_en_Pilar (ej. 1)  </w:t>
      </w:r>
    </w:p>
    <w:p>
      <w:pPr>
        <w:pStyle w:val="ListBullet"/>
        <w:keepLines w:val="1"/>
        <w:keepNext w:val="1"/>
        <w:widowControl w:val="1"/>
      </w:pPr>
      <w:r>
        <w:t xml:space="preserve">E: Nivel_0_Valor_Mín  </w:t>
      </w:r>
    </w:p>
    <w:p>
      <w:pPr>
        <w:pStyle w:val="ListBullet"/>
        <w:keepLines w:val="1"/>
        <w:keepNext w:val="1"/>
        <w:widowControl w:val="1"/>
      </w:pPr>
      <w:r>
        <w:t xml:space="preserve">F: Nivel_1_Valor_Máx  </w:t>
      </w:r>
    </w:p>
    <w:p>
      <w:pPr>
        <w:pStyle w:val="ListBullet"/>
        <w:keepLines w:val="1"/>
        <w:keepNext w:val="1"/>
        <w:widowControl w:val="1"/>
      </w:pPr>
      <w:r>
        <w:t xml:space="preserve">G: Nivel_2_Valor_Máx  </w:t>
      </w:r>
    </w:p>
    <w:p>
      <w:pPr>
        <w:pStyle w:val="ListBullet"/>
        <w:keepLines w:val="1"/>
        <w:keepNext w:val="1"/>
        <w:widowControl w:val="1"/>
      </w:pPr>
      <w:r>
        <w:t xml:space="preserve">H: Nivel_3_Valor_Máx  </w:t>
      </w:r>
    </w:p>
    <w:p>
      <w:pPr>
        <w:pStyle w:val="ListBullet"/>
        <w:keepLines w:val="1"/>
        <w:widowControl w:val="1"/>
      </w:pPr>
      <w:r>
        <w:t xml:space="preserve">I: Nivel_4_Valor_Máx  </w:t>
      </w:r>
    </w:p>
    <w:p>
      <w:r>
        <w:t>Aquí se define qué preguntas pertenecen a qué pilar y cómo se traducen las puntuaciones a niveles de madurez.</w:t>
      </w:r>
    </w:p>
    <w:p>
      <w:pPr>
        <w:pStyle w:val="Heading3"/>
        <w:keepNext/>
        <w:keepLines/>
      </w:pPr>
      <w:r>
        <w:t>Hoja 3 – IGM_Por_Org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ID_Organización  </w:t>
      </w:r>
    </w:p>
    <w:p>
      <w:pPr>
        <w:pStyle w:val="ListBullet"/>
        <w:keepLines w:val="1"/>
        <w:keepNext w:val="1"/>
        <w:widowControl w:val="1"/>
      </w:pPr>
      <w:r>
        <w:t xml:space="preserve">B: Sector  </w:t>
      </w:r>
    </w:p>
    <w:p>
      <w:pPr>
        <w:pStyle w:val="ListBullet"/>
        <w:keepLines w:val="1"/>
        <w:keepNext w:val="1"/>
        <w:widowControl w:val="1"/>
      </w:pPr>
      <w:r>
        <w:t xml:space="preserve">C: Tamaño  </w:t>
      </w:r>
    </w:p>
    <w:p>
      <w:pPr>
        <w:pStyle w:val="ListBullet"/>
        <w:keepLines w:val="1"/>
        <w:keepNext w:val="1"/>
        <w:widowControl w:val="1"/>
      </w:pPr>
      <w:r>
        <w:t xml:space="preserve">D: Legal_Score  </w:t>
      </w:r>
    </w:p>
    <w:p>
      <w:pPr>
        <w:pStyle w:val="ListBullet"/>
        <w:keepLines w:val="1"/>
        <w:keepNext w:val="1"/>
        <w:widowControl w:val="1"/>
      </w:pPr>
      <w:r>
        <w:t xml:space="preserve">E: Technical_Score  </w:t>
      </w:r>
    </w:p>
    <w:p>
      <w:pPr>
        <w:pStyle w:val="ListBullet"/>
        <w:keepLines w:val="1"/>
        <w:keepNext w:val="1"/>
        <w:widowControl w:val="1"/>
      </w:pPr>
      <w:r>
        <w:t xml:space="preserve">F: Organizational_Score  </w:t>
      </w:r>
    </w:p>
    <w:p>
      <w:pPr>
        <w:pStyle w:val="ListBullet"/>
        <w:keepLines w:val="1"/>
        <w:keepNext w:val="1"/>
        <w:widowControl w:val="1"/>
      </w:pPr>
      <w:r>
        <w:t xml:space="preserve">G: Capacity_Score  </w:t>
      </w:r>
    </w:p>
    <w:p>
      <w:pPr>
        <w:pStyle w:val="ListBullet"/>
        <w:keepLines w:val="1"/>
        <w:keepNext w:val="1"/>
        <w:widowControl w:val="1"/>
      </w:pPr>
      <w:r>
        <w:t xml:space="preserve">H: Cooperation_Score  </w:t>
      </w:r>
    </w:p>
    <w:p>
      <w:pPr>
        <w:pStyle w:val="ListBullet"/>
        <w:keepLines w:val="1"/>
        <w:keepNext w:val="1"/>
        <w:widowControl w:val="1"/>
      </w:pPr>
      <w:r>
        <w:t xml:space="preserve">I: IGM_Global (media ponderada)  </w:t>
      </w:r>
    </w:p>
    <w:p>
      <w:pPr>
        <w:pStyle w:val="ListBullet"/>
        <w:keepLines w:val="1"/>
        <w:keepNext w:val="1"/>
        <w:widowControl w:val="1"/>
      </w:pPr>
      <w:r>
        <w:t xml:space="preserve">J: Legal_Level (0–4)  </w:t>
      </w:r>
    </w:p>
    <w:p>
      <w:pPr>
        <w:pStyle w:val="ListBullet"/>
        <w:keepLines w:val="1"/>
        <w:keepNext w:val="1"/>
        <w:widowControl w:val="1"/>
      </w:pPr>
      <w:r>
        <w:t xml:space="preserve">K: Technical_Level (0–4)  </w:t>
      </w:r>
    </w:p>
    <w:p>
      <w:pPr>
        <w:pStyle w:val="ListBullet"/>
        <w:keepLines w:val="1"/>
        <w:keepNext w:val="1"/>
        <w:widowControl w:val="1"/>
      </w:pPr>
      <w:r>
        <w:t xml:space="preserve">L: Organizational_Level (0–4)  </w:t>
      </w:r>
    </w:p>
    <w:p>
      <w:pPr>
        <w:pStyle w:val="ListBullet"/>
        <w:keepLines w:val="1"/>
        <w:keepNext w:val="1"/>
        <w:widowControl w:val="1"/>
      </w:pPr>
      <w:r>
        <w:t xml:space="preserve">M: Capacity_Level (0–4)  </w:t>
      </w:r>
    </w:p>
    <w:p>
      <w:pPr>
        <w:pStyle w:val="ListBullet"/>
        <w:keepLines w:val="1"/>
        <w:widowControl w:val="1"/>
      </w:pPr>
      <w:r>
        <w:t xml:space="preserve">N: Cooperation_Level (0–4)  </w:t>
      </w:r>
    </w:p>
    <w:p>
      <w:r>
        <w:t>Cálculos (ejemplo de fórmulas):</w:t>
      </w:r>
    </w:p>
    <w:p>
      <w:pPr>
        <w:pStyle w:val="ListBullet"/>
        <w:keepLines w:val="1"/>
        <w:keepNext w:val="1"/>
        <w:widowControl w:val="1"/>
      </w:pPr>
      <w:r>
        <w:t xml:space="preserve">Para cada pilar, sumar los Respuesta_Valor de las preguntas asociadas y dividir entre el máximo posible (normalización).  </w:t>
      </w:r>
    </w:p>
    <w:p>
      <w:pPr>
        <w:pStyle w:val="ListBullet"/>
        <w:keepLines w:val="1"/>
        <w:widowControl w:val="1"/>
      </w:pPr>
      <w:r>
        <w:t xml:space="preserve">IGM_Global = promedio de los cinco pilares (o ponderación personalizada).  </w:t>
      </w:r>
    </w:p>
    <w:p>
      <w:pPr>
        <w:pStyle w:val="Heading3"/>
        <w:keepNext/>
        <w:keepLines/>
      </w:pPr>
      <w:r>
        <w:t>Hoja 4 – ROI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ID_Organización  </w:t>
      </w:r>
    </w:p>
    <w:p>
      <w:pPr>
        <w:pStyle w:val="ListBullet"/>
        <w:keepLines w:val="1"/>
        <w:keepNext w:val="1"/>
        <w:widowControl w:val="1"/>
      </w:pPr>
      <w:r>
        <w:t xml:space="preserve">B: Año  </w:t>
      </w:r>
    </w:p>
    <w:p>
      <w:pPr>
        <w:pStyle w:val="ListBullet"/>
        <w:keepLines w:val="1"/>
        <w:keepNext w:val="1"/>
        <w:widowControl w:val="1"/>
      </w:pPr>
      <w:r>
        <w:t xml:space="preserve">C: Presupuesto_TI_Total  </w:t>
      </w:r>
    </w:p>
    <w:p>
      <w:pPr>
        <w:pStyle w:val="ListBullet"/>
        <w:keepLines w:val="1"/>
        <w:keepNext w:val="1"/>
        <w:widowControl w:val="1"/>
      </w:pPr>
      <w:r>
        <w:t xml:space="preserve">D: Presupuesto_Ciberseguridad  </w:t>
      </w:r>
    </w:p>
    <w:p>
      <w:pPr>
        <w:pStyle w:val="ListBullet"/>
        <w:keepLines w:val="1"/>
        <w:keepNext w:val="1"/>
        <w:widowControl w:val="1"/>
      </w:pPr>
      <w:r>
        <w:t xml:space="preserve">E: Incidentes_Mayores (nº/año)  </w:t>
      </w:r>
    </w:p>
    <w:p>
      <w:pPr>
        <w:pStyle w:val="ListBullet"/>
        <w:keepLines w:val="1"/>
        <w:keepNext w:val="1"/>
        <w:widowControl w:val="1"/>
      </w:pPr>
      <w:r>
        <w:t xml:space="preserve">F: Coste_Incidentes (estimado, €/año)  </w:t>
      </w:r>
    </w:p>
    <w:p>
      <w:pPr>
        <w:pStyle w:val="ListBullet"/>
        <w:keepLines w:val="1"/>
        <w:keepNext w:val="1"/>
        <w:widowControl w:val="1"/>
      </w:pPr>
      <w:r>
        <w:t xml:space="preserve">G: Tiempo_Indisponibilidad_Total (horas/año)  </w:t>
      </w:r>
    </w:p>
    <w:p>
      <w:pPr>
        <w:pStyle w:val="ListBullet"/>
        <w:keepLines w:val="1"/>
        <w:keepNext w:val="1"/>
        <w:widowControl w:val="1"/>
      </w:pPr>
      <w:r>
        <w:t xml:space="preserve">H: Valor_Indisponibilidad (€/hora)  </w:t>
      </w:r>
    </w:p>
    <w:p>
      <w:pPr>
        <w:pStyle w:val="ListBullet"/>
        <w:keepLines w:val="1"/>
        <w:keepNext w:val="1"/>
        <w:widowControl w:val="1"/>
      </w:pPr>
      <w:r>
        <w:t xml:space="preserve">I: Coste_Indisponibilidad (Fórmula = G * H)  </w:t>
      </w:r>
    </w:p>
    <w:p>
      <w:pPr>
        <w:pStyle w:val="ListBullet"/>
        <w:keepLines w:val="1"/>
        <w:keepNext w:val="1"/>
        <w:widowControl w:val="1"/>
      </w:pPr>
      <w:r>
        <w:t xml:space="preserve">J: Coste_Total_Riesgo (F + I)  </w:t>
      </w:r>
    </w:p>
    <w:p>
      <w:pPr>
        <w:pStyle w:val="ListBullet"/>
        <w:keepLines w:val="1"/>
        <w:keepNext w:val="1"/>
        <w:widowControl w:val="1"/>
      </w:pPr>
      <w:r>
        <w:t xml:space="preserve">K: IGM_Global (vinculado a Hoja 3)  </w:t>
      </w:r>
    </w:p>
    <w:p>
      <w:pPr>
        <w:pStyle w:val="ListBullet"/>
        <w:keepLines w:val="1"/>
        <w:widowControl w:val="1"/>
      </w:pPr>
      <w:r>
        <w:t>L: Indicador_ROI (ver abajo)</w:t>
      </w:r>
    </w:p>
    <w:p>
      <w:pPr>
        <w:pStyle w:val="Heading2"/>
        <w:keepNext/>
        <w:keepLines/>
      </w:pPr>
      <w:r>
        <w:rPr>
          <w:color w:val="0066CC"/>
        </w:rPr>
        <w:t>2. Cálculo del IGM (Índice Global de Madurez)</w:t>
      </w:r>
    </w:p>
    <w:p>
      <w:r>
        <w:t>Ejemplo de cálculo por pilar (en Excel, pseudofórmulas):</w:t>
      </w:r>
    </w:p>
    <w:p>
      <w:pPr>
        <w:pStyle w:val="ListNumber"/>
        <w:keepLines w:val="1"/>
        <w:keepNext w:val="1"/>
        <w:widowControl w:val="1"/>
      </w:pPr>
      <w:r>
        <w:t xml:space="preserve">En Respuestas, asignar a cada respuesta un valor de 0 (mínima madurez) a 4 (máxima).  </w:t>
      </w:r>
    </w:p>
    <w:p>
      <w:pPr>
        <w:pStyle w:val="ListNumber"/>
        <w:keepLines w:val="1"/>
        <w:keepNext w:val="1"/>
        <w:widowControl w:val="1"/>
      </w:pPr>
      <w:r>
        <w:t>En IGM_Por_Org, para el pilar Legal:</w:t>
      </w:r>
    </w:p>
    <w:p>
      <w:pPr>
        <w:pStyle w:val="ListNumber"/>
        <w:keepLines w:val="1"/>
        <w:keepNext w:val="1"/>
        <w:widowControl w:val="1"/>
      </w:pPr>
      <w:r>
        <w:t xml:space="preserve">Legal_Score = SUMA de valores de respuestas de preguntas marcadas como Legal / número de preguntas Legal.  </w:t>
      </w:r>
    </w:p>
    <w:p>
      <w:pPr>
        <w:pStyle w:val="ListNumber"/>
        <w:keepLines w:val="1"/>
        <w:keepNext w:val="1"/>
        <w:widowControl w:val="1"/>
      </w:pPr>
      <w:r>
        <w:t xml:space="preserve">Repetir por pilar.  </w:t>
      </w:r>
    </w:p>
    <w:p>
      <w:pPr>
        <w:pStyle w:val="ListNumber"/>
        <w:keepLines w:val="1"/>
        <w:widowControl w:val="1"/>
      </w:pPr>
      <w:r>
        <w:t>IGM_Global = PROMEDIO(Legal_Score:Cooperation_Score).</w:t>
      </w:r>
    </w:p>
    <w:p>
      <w:pPr>
        <w:pStyle w:val="Heading2"/>
        <w:keepNext/>
        <w:keepLines/>
      </w:pPr>
      <w:r>
        <w:rPr>
          <w:color w:val="0066CC"/>
        </w:rPr>
        <w:t>3. Cálculo de un indicador de ROI</w:t>
      </w:r>
    </w:p>
    <w:p>
      <w:r>
        <w:t>No existe un ROI “oficial” de ciberseguridad, pero se propone un indicador práctico:</w:t>
      </w:r>
    </w:p>
    <w:p>
      <w:pPr>
        <w:pStyle w:val="ListBullet"/>
        <w:keepLines w:val="1"/>
        <w:keepNext w:val="1"/>
        <w:widowControl w:val="1"/>
      </w:pPr>
      <w:r>
        <w:t xml:space="preserve">Definir, para cada organización y año:  </w:t>
      </w:r>
    </w:p>
    <w:p>
      <w:pPr>
        <w:pStyle w:val="ListBullet"/>
        <w:keepLines w:val="1"/>
        <w:keepNext w:val="1"/>
        <w:widowControl w:val="1"/>
      </w:pPr>
      <w:r>
        <w:t xml:space="preserve">Presupuesto_Ciberseguridad = D  </w:t>
      </w:r>
    </w:p>
    <w:p>
      <w:pPr>
        <w:pStyle w:val="ListBullet"/>
        <w:keepLines w:val="1"/>
        <w:keepNext w:val="1"/>
        <w:widowControl w:val="1"/>
      </w:pPr>
      <w:r>
        <w:br/>
        <w:t xml:space="preserve">Coste_Total_Riesgo = J (suma de costes de incidentes e indisponibilidad).  </w:t>
        <w:br/>
      </w:r>
    </w:p>
    <w:p>
      <w:pPr>
        <w:pStyle w:val="ListBullet"/>
        <w:keepLines w:val="1"/>
        <w:widowControl w:val="1"/>
      </w:pPr>
      <w:r>
        <w:br/>
        <w:t>Indicador_ROI (orientativo) podría definirse como:</w:t>
        <w:br/>
      </w:r>
    </w:p>
    <w:p>
      <w:r>
        <w:rPr>
          <w:rFonts w:ascii="Courier New" w:hAnsi="Courier New"/>
          <w:sz w:val="18"/>
        </w:rPr>
        <w:t>Coste_Total_Riesgo</w:t>
      </w:r>
      <w:r>
        <w:t xml:space="preserve"> = J (suma de costes de incidentes e indisponibilidad).  </w:t>
      </w:r>
    </w:p>
    <w:p>
      <w:r>
        <w:rPr>
          <w:b/>
        </w:rPr>
        <w:t>Indicador_ROI</w:t>
      </w:r>
      <w:r>
        <w:t xml:space="preserve"> (orientativo) podría definirse como:</w:t>
      </w:r>
    </w:p>
    <w:p>
      <w:r>
        <w:t>[</w:t>
      </w:r>
      <w:r/>
      <w:r>
        <w:br/>
        <w:t xml:space="preserve">  \text{ROI_Ciber} = \frac{\text{Coste_Total_Riesgo_Referencia} - \text{Coste_Total_Riesgo_Año}}{\text{Presupuesto_Ciberseguridad_Año}}</w:t>
      </w:r>
      <w:r/>
      <w:r>
        <w:br/>
        <w:t xml:space="preserve">  ]</w:t>
      </w:r>
    </w:p>
    <w:p>
      <w:r>
        <w:t xml:space="preserve">Donde </w:t>
      </w:r>
      <w:r>
        <w:rPr>
          <w:rFonts w:ascii="Courier New" w:hAnsi="Courier New"/>
          <w:sz w:val="18"/>
        </w:rPr>
        <w:t>Coste_Total_Riesgo_Referencia</w:t>
      </w:r>
      <w:r>
        <w:t xml:space="preserve"> puede ser:</w:t>
      </w:r>
      <w:r/>
      <w:r>
        <w:br/>
        <w:t xml:space="preserve">  - El coste medio de incidentes de años previos.</w:t>
      </w:r>
      <w:r/>
      <w:r>
        <w:br/>
        <w:t xml:space="preserve">  - Una estimación basada en benchmarks sectoriales.  </w:t>
      </w:r>
    </w:p>
    <w:p>
      <w:r>
        <w:t>En Excel, si:</w:t>
      </w:r>
    </w:p>
    <w:p>
      <w:pPr>
        <w:pStyle w:val="ListBullet"/>
        <w:keepLines w:val="1"/>
        <w:keepNext w:val="1"/>
        <w:widowControl w:val="1"/>
      </w:pPr>
      <w:r>
        <w:t xml:space="preserve">Coste_Total_Riesgo_Ref está en columna M,  </w:t>
      </w:r>
    </w:p>
    <w:p>
      <w:pPr>
        <w:pStyle w:val="ListBullet"/>
        <w:keepLines w:val="1"/>
        <w:keepNext w:val="1"/>
        <w:widowControl w:val="1"/>
      </w:pPr>
      <w:r>
        <w:t xml:space="preserve">Coste_Total_Riesgo_Año en J,  </w:t>
      </w:r>
    </w:p>
    <w:p>
      <w:pPr>
        <w:pStyle w:val="ListBullet"/>
        <w:keepLines w:val="1"/>
        <w:widowControl w:val="1"/>
      </w:pPr>
      <w:r>
        <w:t xml:space="preserve">Presupuesto_Ciberseguridad_Año en D,  </w:t>
      </w:r>
    </w:p>
    <w:p>
      <w:r>
        <w:t>entonces:</w:t>
      </w:r>
    </w:p>
    <w:p>
      <w:pPr>
        <w:pStyle w:val="ListBullet"/>
        <w:keepLines w:val="1"/>
        <w:widowControl w:val="1"/>
      </w:pPr>
      <w:r>
        <w:t>Indicador_ROI = (M - J) / D</w:t>
      </w:r>
    </w:p>
    <w:p>
      <w:pPr>
        <w:pStyle w:val="Heading2"/>
        <w:keepNext/>
        <w:keepLines/>
      </w:pPr>
      <w:r>
        <w:rPr>
          <w:color w:val="0066CC"/>
        </w:rPr>
        <w:t>4. Visualizaciones recomendadas</w:t>
      </w:r>
    </w:p>
    <w:p>
      <w:r>
        <w:t>En Excel o BI:</w:t>
      </w:r>
    </w:p>
    <w:p>
      <w:pPr>
        <w:pStyle w:val="ListBullet"/>
        <w:keepLines w:val="1"/>
        <w:keepNext w:val="1"/>
        <w:widowControl w:val="1"/>
      </w:pPr>
      <w:r>
        <w:t xml:space="preserve">Radar de madurez (5 pilares) por organización.  </w:t>
      </w:r>
    </w:p>
    <w:p>
      <w:pPr>
        <w:pStyle w:val="ListBullet"/>
        <w:keepLines w:val="1"/>
        <w:keepNext w:val="1"/>
        <w:widowControl w:val="1"/>
      </w:pPr>
      <w:r>
        <w:t xml:space="preserve">Gráfico de barras comparando IGM por sector.  </w:t>
      </w:r>
    </w:p>
    <w:p>
      <w:pPr>
        <w:pStyle w:val="ListBullet"/>
        <w:keepLines w:val="1"/>
        <w:keepNext w:val="1"/>
        <w:widowControl w:val="1"/>
      </w:pPr>
      <w:r>
        <w:t xml:space="preserve">Diagrama de dispersión: IGM_Global vs. Presupuesto_Ciberseguridad (% TI).  </w:t>
      </w:r>
    </w:p>
    <w:p>
      <w:pPr>
        <w:pStyle w:val="ListBullet"/>
        <w:keepLines w:val="1"/>
        <w:widowControl w:val="1"/>
      </w:pPr>
      <w:r>
        <w:t xml:space="preserve">Evolución temporal: Coste_Total_Riesgo y Presupuesto_Ciberseguridad por año.  </w:t>
      </w:r>
    </w:p>
    <w:p>
      <w:r>
        <w:t xml:space="preserve">Estas visualizaciones permiten relacionar inversión, madurez y impacto, reforzando la lógica de “digital trust” que se observa en las encuestas globales de ciberseguridad.[web:34][web:41]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