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Integrando GQM + PRAGMATIC</w:t>
      </w:r>
    </w:p>
    <w:p>
      <w:r>
        <w:t>Esta plantilla define las hojas y cálculos necesarios para:</w:t>
      </w:r>
      <w:r/>
      <w:r>
        <w:br/>
        <w:t>1) Transformar respuestas de encuesta en un Índice Global de Madurez (IGM) alineado con GCI y GQM.</w:t>
      </w:r>
      <w:r/>
      <w:r>
        <w:br/>
        <w:t xml:space="preserve">2) Relacionar la madurez con inversión y costes para derivar indicadores de ROI.  </w:t>
      </w:r>
    </w:p>
    <w:p>
      <w:pPr>
        <w:pStyle w:val="Heading2"/>
        <w:keepNext/>
        <w:keepLines/>
      </w:pPr>
      <w:r>
        <w:rPr>
          <w:color w:val="0066CC"/>
        </w:rPr>
        <w:t>1. Hojas propuestas</w:t>
      </w:r>
    </w:p>
    <w:p>
      <w:pPr>
        <w:pStyle w:val="Heading3"/>
        <w:keepNext/>
        <w:keepLines/>
      </w:pPr>
      <w:r>
        <w:t>Hoja 1 – Respuestas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ID_Organización  </w:t>
      </w:r>
    </w:p>
    <w:p>
      <w:pPr>
        <w:pStyle w:val="ListBullet"/>
        <w:keepLines w:val="1"/>
        <w:keepNext w:val="1"/>
        <w:widowControl w:val="1"/>
      </w:pPr>
      <w:r>
        <w:t xml:space="preserve">B: Sector  </w:t>
      </w:r>
    </w:p>
    <w:p>
      <w:pPr>
        <w:pStyle w:val="ListBullet"/>
        <w:keepLines w:val="1"/>
        <w:keepNext w:val="1"/>
        <w:widowControl w:val="1"/>
      </w:pPr>
      <w:r>
        <w:t xml:space="preserve">C: Tamaño  </w:t>
      </w:r>
    </w:p>
    <w:p>
      <w:pPr>
        <w:pStyle w:val="ListBullet"/>
        <w:keepLines w:val="1"/>
        <w:keepNext w:val="1"/>
        <w:widowControl w:val="1"/>
      </w:pPr>
      <w:r>
        <w:t xml:space="preserve">D: Pregunta_ID (p.ej. Q2.1.3)  </w:t>
      </w:r>
    </w:p>
    <w:p>
      <w:pPr>
        <w:pStyle w:val="ListBullet"/>
        <w:keepLines w:val="1"/>
        <w:keepNext w:val="1"/>
        <w:widowControl w:val="1"/>
      </w:pPr>
      <w:r>
        <w:t xml:space="preserve">E: Pilar_GCI (L/T/O/C/Co)  </w:t>
      </w:r>
    </w:p>
    <w:p>
      <w:pPr>
        <w:pStyle w:val="ListBullet"/>
        <w:keepLines w:val="1"/>
        <w:keepNext w:val="1"/>
        <w:widowControl w:val="1"/>
      </w:pPr>
      <w:r>
        <w:t xml:space="preserve">F: Goal_ID (G1.1, G2.1, etc.)  </w:t>
      </w:r>
    </w:p>
    <w:p>
      <w:pPr>
        <w:pStyle w:val="ListBullet"/>
        <w:keepLines w:val="1"/>
        <w:keepNext w:val="1"/>
        <w:widowControl w:val="1"/>
      </w:pPr>
      <w:r>
        <w:t xml:space="preserve">G: Respuesta_Texto  </w:t>
      </w:r>
    </w:p>
    <w:p>
      <w:pPr>
        <w:pStyle w:val="ListBullet"/>
        <w:keepLines w:val="1"/>
        <w:widowControl w:val="1"/>
      </w:pPr>
      <w:r>
        <w:t xml:space="preserve">H: Respuesta_Valor (0–4)  </w:t>
      </w:r>
    </w:p>
    <w:p>
      <w:r>
        <w:t>Cada fila = una respuesta a una pregunta de la encuesta.</w:t>
      </w:r>
    </w:p>
    <w:p>
      <w:pPr>
        <w:pStyle w:val="Heading3"/>
        <w:keepNext/>
        <w:keepLines/>
      </w:pPr>
      <w:r>
        <w:t>Hoja 2 – Preguntas_Metricas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Pregunta_ID  </w:t>
      </w:r>
    </w:p>
    <w:p>
      <w:pPr>
        <w:pStyle w:val="ListBullet"/>
        <w:keepLines w:val="1"/>
        <w:keepNext w:val="1"/>
        <w:widowControl w:val="1"/>
      </w:pPr>
      <w:r>
        <w:t xml:space="preserve">B: Métrica_ID (M2.1.3, etc.)  </w:t>
      </w:r>
    </w:p>
    <w:p>
      <w:pPr>
        <w:pStyle w:val="ListBullet"/>
        <w:keepLines w:val="1"/>
        <w:keepNext w:val="1"/>
        <w:widowControl w:val="1"/>
      </w:pPr>
      <w:r>
        <w:t xml:space="preserve">C: Descripción_Métrica  </w:t>
      </w:r>
    </w:p>
    <w:p>
      <w:pPr>
        <w:pStyle w:val="ListBullet"/>
        <w:keepLines w:val="1"/>
        <w:keepNext w:val="1"/>
        <w:widowControl w:val="1"/>
      </w:pPr>
      <w:r>
        <w:t xml:space="preserve">D: Tipo_Métrica (directa/derivada)  </w:t>
      </w:r>
    </w:p>
    <w:p>
      <w:pPr>
        <w:pStyle w:val="ListBullet"/>
        <w:keepLines w:val="1"/>
        <w:keepNext w:val="1"/>
        <w:widowControl w:val="1"/>
      </w:pPr>
      <w:r>
        <w:t xml:space="preserve">E: Peso_en_Pilar (0–1)  </w:t>
      </w:r>
    </w:p>
    <w:p>
      <w:pPr>
        <w:pStyle w:val="ListBullet"/>
        <w:keepLines w:val="1"/>
        <w:widowControl w:val="1"/>
      </w:pPr>
      <w:r>
        <w:t xml:space="preserve">F: Peso_en_Goal (0–1)  </w:t>
      </w:r>
    </w:p>
    <w:p>
      <w:pPr>
        <w:pStyle w:val="Heading3"/>
        <w:keepNext/>
        <w:keepLines/>
      </w:pPr>
      <w:r>
        <w:t>Hoja 3 – Pilares_IGM</w:t>
      </w:r>
    </w:p>
    <w:p>
      <w:r>
        <w:t>Columnas (una fila por organización):</w:t>
      </w:r>
    </w:p>
    <w:p>
      <w:pPr>
        <w:pStyle w:val="ListBullet"/>
        <w:keepLines w:val="1"/>
        <w:keepNext w:val="1"/>
        <w:widowControl w:val="1"/>
      </w:pPr>
      <w:r>
        <w:t xml:space="preserve">A: ID_Organización  </w:t>
      </w:r>
    </w:p>
    <w:p>
      <w:pPr>
        <w:pStyle w:val="ListBullet"/>
        <w:keepLines w:val="1"/>
        <w:keepNext w:val="1"/>
        <w:widowControl w:val="1"/>
      </w:pPr>
      <w:r>
        <w:t xml:space="preserve">B: Sector  </w:t>
      </w:r>
    </w:p>
    <w:p>
      <w:pPr>
        <w:pStyle w:val="ListBullet"/>
        <w:keepLines w:val="1"/>
        <w:keepNext w:val="1"/>
        <w:widowControl w:val="1"/>
      </w:pPr>
      <w:r>
        <w:t xml:space="preserve">C: Tamaño  </w:t>
      </w:r>
    </w:p>
    <w:p>
      <w:pPr>
        <w:pStyle w:val="ListBullet"/>
        <w:keepLines w:val="1"/>
        <w:keepNext w:val="1"/>
        <w:widowControl w:val="1"/>
      </w:pPr>
      <w:r>
        <w:t xml:space="preserve">D: Legal_Score  </w:t>
      </w:r>
    </w:p>
    <w:p>
      <w:pPr>
        <w:pStyle w:val="ListBullet"/>
        <w:keepLines w:val="1"/>
        <w:keepNext w:val="1"/>
        <w:widowControl w:val="1"/>
      </w:pPr>
      <w:r>
        <w:t xml:space="preserve">E: Technical_Score  </w:t>
      </w:r>
    </w:p>
    <w:p>
      <w:pPr>
        <w:pStyle w:val="ListBullet"/>
        <w:keepLines w:val="1"/>
        <w:keepNext w:val="1"/>
        <w:widowControl w:val="1"/>
      </w:pPr>
      <w:r>
        <w:t xml:space="preserve">F: Organizational_Score  </w:t>
      </w:r>
    </w:p>
    <w:p>
      <w:pPr>
        <w:pStyle w:val="ListBullet"/>
        <w:keepLines w:val="1"/>
        <w:keepNext w:val="1"/>
        <w:widowControl w:val="1"/>
      </w:pPr>
      <w:r>
        <w:t xml:space="preserve">G: Capacity_Score  </w:t>
      </w:r>
    </w:p>
    <w:p>
      <w:pPr>
        <w:pStyle w:val="ListBullet"/>
        <w:keepLines w:val="1"/>
        <w:keepNext w:val="1"/>
        <w:widowControl w:val="1"/>
      </w:pPr>
      <w:r>
        <w:t xml:space="preserve">H: Cooperation_Score  </w:t>
      </w:r>
    </w:p>
    <w:p>
      <w:pPr>
        <w:pStyle w:val="ListBullet"/>
        <w:keepLines w:val="1"/>
        <w:widowControl w:val="1"/>
      </w:pPr>
      <w:r>
        <w:t xml:space="preserve">I: IGM_Global  </w:t>
      </w:r>
    </w:p>
    <w:p>
      <w:r>
        <w:t>Cálculos orientativos:</w:t>
      </w:r>
    </w:p>
    <w:p>
      <w:pPr>
        <w:pStyle w:val="ListBullet"/>
        <w:keepLines w:val="1"/>
        <w:keepNext w:val="1"/>
        <w:widowControl w:val="1"/>
      </w:pPr>
      <w:r>
        <w:t xml:space="preserve">Legal_Score = PROMEDIO de Respuesta_Valor para Pregunta_ID con Pilar_GCI = "L".  </w:t>
      </w:r>
    </w:p>
    <w:p>
      <w:pPr>
        <w:pStyle w:val="ListBullet"/>
        <w:keepLines w:val="1"/>
        <w:keepNext w:val="1"/>
        <w:widowControl w:val="1"/>
      </w:pPr>
      <w:r>
        <w:t xml:space="preserve">Igual para el resto de pilares.  </w:t>
      </w:r>
    </w:p>
    <w:p>
      <w:pPr>
        <w:pStyle w:val="ListBullet"/>
        <w:keepLines w:val="1"/>
        <w:widowControl w:val="1"/>
      </w:pPr>
      <w:r>
        <w:t>IGM_Global = PROMEDIO(D:H) o promedio ponderado si se ajustan pesos por pilar.</w:t>
      </w:r>
    </w:p>
    <w:p>
      <w:pPr>
        <w:pStyle w:val="Heading3"/>
        <w:keepNext/>
        <w:keepLines/>
      </w:pPr>
      <w:r>
        <w:t>Hoja 4 – PRAGMATIC_Metricas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Métrica_ID  </w:t>
      </w:r>
    </w:p>
    <w:p>
      <w:pPr>
        <w:pStyle w:val="ListBullet"/>
        <w:keepLines w:val="1"/>
        <w:keepNext w:val="1"/>
        <w:widowControl w:val="1"/>
      </w:pPr>
      <w:r>
        <w:t xml:space="preserve">B: P (Predictivo, 1–5)  </w:t>
      </w:r>
    </w:p>
    <w:p>
      <w:pPr>
        <w:pStyle w:val="ListBullet"/>
        <w:keepLines w:val="1"/>
        <w:keepNext w:val="1"/>
        <w:widowControl w:val="1"/>
      </w:pPr>
      <w:r>
        <w:t xml:space="preserve">C: R (Relevante, 1–5)  </w:t>
      </w:r>
    </w:p>
    <w:p>
      <w:pPr>
        <w:pStyle w:val="ListBullet"/>
        <w:keepLines w:val="1"/>
        <w:keepNext w:val="1"/>
        <w:widowControl w:val="1"/>
      </w:pPr>
      <w:r>
        <w:t xml:space="preserve">D: A (Accionable, 1–5)  </w:t>
      </w:r>
    </w:p>
    <w:p>
      <w:pPr>
        <w:pStyle w:val="ListBullet"/>
        <w:keepLines w:val="1"/>
        <w:keepNext w:val="1"/>
        <w:widowControl w:val="1"/>
      </w:pPr>
      <w:r>
        <w:t xml:space="preserve">E: G (Genuino, 1–5)  </w:t>
      </w:r>
    </w:p>
    <w:p>
      <w:pPr>
        <w:pStyle w:val="ListBullet"/>
        <w:keepLines w:val="1"/>
        <w:keepNext w:val="1"/>
        <w:widowControl w:val="1"/>
      </w:pPr>
      <w:r>
        <w:t xml:space="preserve">F: M (Significativo, 1–5)  </w:t>
      </w:r>
    </w:p>
    <w:p>
      <w:pPr>
        <w:pStyle w:val="ListBullet"/>
        <w:keepLines w:val="1"/>
        <w:keepNext w:val="1"/>
        <w:widowControl w:val="1"/>
      </w:pPr>
      <w:r>
        <w:t xml:space="preserve">G: Ac (Preciso, 1–5)  </w:t>
      </w:r>
    </w:p>
    <w:p>
      <w:pPr>
        <w:pStyle w:val="ListBullet"/>
        <w:keepLines w:val="1"/>
        <w:keepNext w:val="1"/>
        <w:widowControl w:val="1"/>
      </w:pPr>
      <w:r>
        <w:t xml:space="preserve">H: T (Oportuno, 1–5)  </w:t>
      </w:r>
    </w:p>
    <w:p>
      <w:pPr>
        <w:pStyle w:val="ListBullet"/>
        <w:keepLines w:val="1"/>
        <w:keepNext w:val="1"/>
        <w:widowControl w:val="1"/>
      </w:pPr>
      <w:r>
        <w:t xml:space="preserve">I: I (Independiente, 1–5)  </w:t>
      </w:r>
    </w:p>
    <w:p>
      <w:pPr>
        <w:pStyle w:val="ListBullet"/>
        <w:keepLines w:val="1"/>
        <w:keepNext w:val="1"/>
        <w:widowControl w:val="1"/>
      </w:pPr>
      <w:r>
        <w:t xml:space="preserve">J: C (Rentable, 1–5)  </w:t>
      </w:r>
    </w:p>
    <w:p>
      <w:pPr>
        <w:pStyle w:val="ListBullet"/>
        <w:keepLines w:val="1"/>
        <w:widowControl w:val="1"/>
      </w:pPr>
      <w:r>
        <w:t xml:space="preserve">K: Puntuación_Media_PRAGMATIC (PROMEDIO(B:J))  </w:t>
      </w:r>
    </w:p>
    <w:p>
      <w:r>
        <w:t>Uso sugerido:</w:t>
      </w:r>
    </w:p>
    <w:p>
      <w:pPr>
        <w:pStyle w:val="ListBullet"/>
        <w:keepLines w:val="1"/>
        <w:widowControl w:val="1"/>
      </w:pPr>
      <w:r>
        <w:t>Filtrar métricas con Puntuación_Media_PRAGMATIC ≥ 3,5 para priorizar su uso en cuadros de mando.</w:t>
      </w:r>
    </w:p>
    <w:p>
      <w:pPr>
        <w:pStyle w:val="Heading3"/>
        <w:keepNext/>
        <w:keepLines/>
      </w:pPr>
      <w:r>
        <w:t>Hoja 5 – ROI_Ciber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ID_Organización  </w:t>
      </w:r>
    </w:p>
    <w:p>
      <w:pPr>
        <w:pStyle w:val="ListBullet"/>
        <w:keepLines w:val="1"/>
        <w:keepNext w:val="1"/>
        <w:widowControl w:val="1"/>
      </w:pPr>
      <w:r>
        <w:t xml:space="preserve">B: Año  </w:t>
      </w:r>
    </w:p>
    <w:p>
      <w:pPr>
        <w:pStyle w:val="ListBullet"/>
        <w:keepLines w:val="1"/>
        <w:keepNext w:val="1"/>
        <w:widowControl w:val="1"/>
      </w:pPr>
      <w:r>
        <w:t xml:space="preserve">C: Presupuesto_TI_Total  </w:t>
      </w:r>
    </w:p>
    <w:p>
      <w:pPr>
        <w:pStyle w:val="ListBullet"/>
        <w:keepLines w:val="1"/>
        <w:keepNext w:val="1"/>
        <w:widowControl w:val="1"/>
      </w:pPr>
      <w:r>
        <w:t xml:space="preserve">D: Presupuesto_Ciberseguridad  </w:t>
      </w:r>
    </w:p>
    <w:p>
      <w:pPr>
        <w:pStyle w:val="ListBullet"/>
        <w:keepLines w:val="1"/>
        <w:keepNext w:val="1"/>
        <w:widowControl w:val="1"/>
      </w:pPr>
      <w:r>
        <w:t xml:space="preserve">E: %_TI_en_Ciber (D/C)  </w:t>
      </w:r>
    </w:p>
    <w:p>
      <w:pPr>
        <w:pStyle w:val="ListBullet"/>
        <w:keepLines w:val="1"/>
        <w:keepNext w:val="1"/>
        <w:widowControl w:val="1"/>
      </w:pPr>
      <w:r>
        <w:t xml:space="preserve">F: IGM_Global (vinculado a Pilares_IGM)  </w:t>
      </w:r>
    </w:p>
    <w:p>
      <w:pPr>
        <w:pStyle w:val="ListBullet"/>
        <w:keepLines w:val="1"/>
        <w:keepNext w:val="1"/>
        <w:widowControl w:val="1"/>
      </w:pPr>
      <w:r>
        <w:t xml:space="preserve">G: Coste_Incidentes (€/año)  </w:t>
      </w:r>
    </w:p>
    <w:p>
      <w:pPr>
        <w:pStyle w:val="ListBullet"/>
        <w:keepLines w:val="1"/>
        <w:keepNext w:val="1"/>
        <w:widowControl w:val="1"/>
      </w:pPr>
      <w:r>
        <w:t xml:space="preserve">H: Coste_Indisponibilidad (€/año)  </w:t>
      </w:r>
    </w:p>
    <w:p>
      <w:pPr>
        <w:pStyle w:val="ListBullet"/>
        <w:keepLines w:val="1"/>
        <w:keepNext w:val="1"/>
        <w:widowControl w:val="1"/>
      </w:pPr>
      <w:r>
        <w:t xml:space="preserve">I: Coste_Total_Riesgo (G + H)  </w:t>
      </w:r>
    </w:p>
    <w:p>
      <w:pPr>
        <w:pStyle w:val="ListBullet"/>
        <w:keepLines w:val="1"/>
        <w:keepNext w:val="1"/>
        <w:widowControl w:val="1"/>
      </w:pPr>
      <w:r>
        <w:t xml:space="preserve">J: Coste_Total_Riesgo_Referencia (media de años anteriores o benchmark)  </w:t>
      </w:r>
    </w:p>
    <w:p>
      <w:pPr>
        <w:pStyle w:val="ListBullet"/>
        <w:keepLines w:val="1"/>
        <w:widowControl w:val="1"/>
      </w:pPr>
      <w:r>
        <w:t xml:space="preserve">K: ROI_Ciber  </w:t>
      </w:r>
    </w:p>
    <w:p>
      <w:r>
        <w:t>Fórmula sugerida para ROI_Ciber:</w:t>
      </w:r>
    </w:p>
    <w:p>
      <w:r>
        <w:t>[</w:t>
      </w:r>
      <w:r/>
      <w:r>
        <w:br/>
        <w:t>\text{ROI_Ciber} = \frac{\text{Coste_Total_Riesgo_Referencia} - \text{Coste_Total_Riesgo}}{\text{Presupuesto_Ciberseguridad}}</w:t>
      </w:r>
      <w:r/>
      <w:r>
        <w:br/>
        <w:t>]</w:t>
      </w:r>
    </w:p>
    <w:p>
      <w:r>
        <w:t>En Excel, si:</w:t>
      </w:r>
    </w:p>
    <w:p>
      <w:pPr>
        <w:pStyle w:val="ListBullet"/>
        <w:keepLines w:val="1"/>
        <w:keepNext w:val="1"/>
        <w:widowControl w:val="1"/>
      </w:pPr>
      <w:r>
        <w:t xml:space="preserve">Coste_Total_Riesgo_Referencia en J2  </w:t>
      </w:r>
    </w:p>
    <w:p>
      <w:pPr>
        <w:pStyle w:val="ListBullet"/>
        <w:keepLines w:val="1"/>
        <w:keepNext w:val="1"/>
        <w:widowControl w:val="1"/>
      </w:pPr>
      <w:r>
        <w:t xml:space="preserve">Coste_Total_Riesgo en I2  </w:t>
      </w:r>
    </w:p>
    <w:p>
      <w:pPr>
        <w:pStyle w:val="ListBullet"/>
        <w:keepLines w:val="1"/>
        <w:widowControl w:val="1"/>
      </w:pPr>
      <w:r>
        <w:t xml:space="preserve">Presupuesto_Ciberseguridad en D2  </w:t>
      </w:r>
    </w:p>
    <w:p>
      <w:r>
        <w:t>entonces:</w:t>
      </w:r>
    </w:p>
    <w:p>
      <w:pPr>
        <w:pStyle w:val="ListBullet"/>
        <w:keepLines w:val="1"/>
        <w:widowControl w:val="1"/>
      </w:pPr>
      <w:r>
        <w:t>ROI_Ciber (K2) = (J2 - I2) / D2</w:t>
      </w:r>
    </w:p>
    <w:p>
      <w:pPr>
        <w:pStyle w:val="Heading3"/>
        <w:keepNext/>
        <w:keepLines/>
      </w:pPr>
      <w:r>
        <w:t>Hoja 6 – Dashboards</w:t>
      </w:r>
    </w:p>
    <w:p>
      <w:pPr>
        <w:pStyle w:val="ListBullet"/>
        <w:keepLines w:val="1"/>
        <w:keepNext w:val="1"/>
        <w:widowControl w:val="1"/>
      </w:pPr>
      <w:r>
        <w:t xml:space="preserve">Gráficos radar por organización (5 pilares).  </w:t>
      </w:r>
    </w:p>
    <w:p>
      <w:pPr>
        <w:pStyle w:val="ListBullet"/>
        <w:keepLines w:val="1"/>
        <w:keepNext w:val="1"/>
        <w:widowControl w:val="1"/>
      </w:pPr>
      <w:r>
        <w:t xml:space="preserve">Gráficos de barras: IGM por sector.  </w:t>
      </w:r>
    </w:p>
    <w:p>
      <w:pPr>
        <w:pStyle w:val="ListBullet"/>
        <w:keepLines w:val="1"/>
        <w:keepNext w:val="1"/>
        <w:widowControl w:val="1"/>
      </w:pPr>
      <w:r>
        <w:t xml:space="preserve">Dispersión: IGM_Global vs %_TI_en_Ciber.  </w:t>
      </w:r>
    </w:p>
    <w:p>
      <w:pPr>
        <w:pStyle w:val="ListBullet"/>
        <w:keepLines w:val="1"/>
        <w:widowControl w:val="1"/>
      </w:pPr>
      <w:r>
        <w:t xml:space="preserve">Tendencias: Coste_Total_Riesgo vs. IGM_Global por año.  </w:t>
      </w:r>
    </w:p>
    <w:p>
      <w:pPr>
        <w:pStyle w:val="Heading2"/>
        <w:keepNext/>
        <w:keepLines/>
      </w:pPr>
      <w:r>
        <w:rPr>
          <w:color w:val="0066CC"/>
        </w:rPr>
        <w:t>2. Integración con GQM</w:t>
      </w:r>
    </w:p>
    <w:p>
      <w:r>
        <w:t xml:space="preserve">Las columnas </w:t>
      </w:r>
      <w:r>
        <w:rPr>
          <w:rFonts w:ascii="Courier New" w:hAnsi="Courier New"/>
          <w:sz w:val="18"/>
        </w:rPr>
        <w:t>Goal_ID</w:t>
      </w:r>
      <w:r>
        <w:t xml:space="preserve"> y </w:t>
      </w:r>
      <w:r>
        <w:rPr>
          <w:rFonts w:ascii="Courier New" w:hAnsi="Courier New"/>
          <w:sz w:val="18"/>
        </w:rPr>
        <w:t>Pilar_GCI</w:t>
      </w:r>
      <w:r>
        <w:t xml:space="preserve"> permiten:</w:t>
      </w:r>
    </w:p>
    <w:p>
      <w:pPr>
        <w:pStyle w:val="ListBullet"/>
        <w:keepLines w:val="1"/>
        <w:keepNext w:val="1"/>
        <w:widowControl w:val="1"/>
      </w:pPr>
      <w:r>
        <w:t xml:space="preserve">Analizar la contribución de cada métrica a objetivos concretos (ej. G2.1).  </w:t>
      </w:r>
    </w:p>
    <w:p>
      <w:pPr>
        <w:pStyle w:val="ListBullet"/>
        <w:keepLines w:val="1"/>
        <w:widowControl w:val="1"/>
      </w:pPr>
      <w:r>
        <w:t xml:space="preserve">Agrupar resultados no solo por pilar, sino por objetivos nacionales/sectoriales.  </w:t>
      </w:r>
    </w:p>
    <w:p>
      <w:r>
        <w:t>Ejemplo:</w:t>
      </w:r>
    </w:p>
    <w:p>
      <w:pPr>
        <w:pStyle w:val="ListBullet"/>
        <w:keepLines w:val="1"/>
        <w:widowControl w:val="1"/>
      </w:pPr>
      <w:r>
        <w:t xml:space="preserve">Tabla dinámica que muestre, por Goal_ID, la media de IGM de las métricas asociadas.  </w:t>
      </w:r>
    </w:p>
    <w:p>
      <w:pPr>
        <w:pStyle w:val="Heading2"/>
        <w:keepNext/>
        <w:keepLines/>
      </w:pPr>
      <w:r>
        <w:rPr>
          <w:color w:val="0066CC"/>
        </w:rPr>
        <w:t>3. Integración con PRAGMATIC</w:t>
      </w:r>
    </w:p>
    <w:p>
      <w:r>
        <w:t xml:space="preserve">La hoja </w:t>
      </w:r>
      <w:r>
        <w:rPr>
          <w:rFonts w:ascii="Courier New" w:hAnsi="Courier New"/>
          <w:sz w:val="18"/>
        </w:rPr>
        <w:t>PRAGMATIC_Metricas</w:t>
      </w:r>
      <w:r>
        <w:t xml:space="preserve"> se usa para:</w:t>
      </w:r>
    </w:p>
    <w:p>
      <w:pPr>
        <w:pStyle w:val="ListBullet"/>
        <w:keepLines w:val="1"/>
        <w:keepNext w:val="1"/>
        <w:widowControl w:val="1"/>
      </w:pPr>
      <w:r>
        <w:t xml:space="preserve">Filtrar las métricas recomendadas (alta puntuación PRAGMATIC).  </w:t>
      </w:r>
    </w:p>
    <w:p>
      <w:pPr>
        <w:pStyle w:val="ListBullet"/>
        <w:keepLines w:val="1"/>
        <w:widowControl w:val="1"/>
      </w:pPr>
      <w:r>
        <w:t xml:space="preserve">Documentar por qué se elige una métrica y no otra cuando hay redundancias.  </w:t>
      </w:r>
    </w:p>
    <w:p>
      <w:r>
        <w:t>En cuadros de mando, se puede:</w:t>
      </w:r>
    </w:p>
    <w:p>
      <w:pPr>
        <w:pStyle w:val="ListBullet"/>
        <w:keepLines w:val="1"/>
        <w:widowControl w:val="1"/>
      </w:pPr>
      <w:r>
        <w:t xml:space="preserve">Usar iconos o colores que indiquen el nivel PRAGMATIC de cada métrica clave.  </w:t>
      </w:r>
    </w:p>
    <w:p>
      <w:pPr>
        <w:pStyle w:val="Heading2"/>
        <w:keepNext/>
        <w:keepLines/>
      </w:pPr>
      <w:r>
        <w:rPr>
          <w:color w:val="0066CC"/>
        </w:rPr>
        <w:t>4. Buenas prácticas de implementación</w:t>
      </w:r>
    </w:p>
    <w:p>
      <w:pPr>
        <w:pStyle w:val="ListBullet"/>
        <w:keepLines w:val="1"/>
        <w:keepNext w:val="1"/>
        <w:widowControl w:val="1"/>
      </w:pPr>
      <w:r>
        <w:t xml:space="preserve">Validar fórmulas con un conjunto reducido de organizaciones piloto.  </w:t>
      </w:r>
    </w:p>
    <w:p>
      <w:pPr>
        <w:pStyle w:val="ListBullet"/>
        <w:keepLines w:val="1"/>
        <w:keepNext w:val="1"/>
        <w:widowControl w:val="1"/>
      </w:pPr>
      <w:r>
        <w:t xml:space="preserve">Mantener un diccionario de datos (fuente, periodicidad, responsable de cada métrica).  </w:t>
      </w:r>
    </w:p>
    <w:p>
      <w:pPr>
        <w:pStyle w:val="ListBullet"/>
        <w:keepLines w:val="1"/>
        <w:widowControl w:val="1"/>
      </w:pPr>
      <w:r>
        <w:t xml:space="preserve">Revisar el catálogo de métricas cada 1–2 años a la luz de cambios normativos y de GCI.[web:20][web:40][web:41]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