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 – Encuesta de Madurez en Ciberseguridad</w:t>
      </w:r>
    </w:p>
    <w:p>
      <w:r>
        <w:t>Guion en Markdown para transformar en presentación PowerPoint.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</w:t>
        <w:br/>
        <w:t xml:space="preserve">Informe de Madurez en Ciberseguridad – Modelo GCI‑Empresa </w:t>
      </w:r>
    </w:p>
    <w:p>
      <w:pPr>
        <w:pStyle w:val="ListBullet"/>
        <w:keepLines w:val="1"/>
        <w:keepNext w:val="1"/>
        <w:widowControl w:val="1"/>
      </w:pPr>
      <w:r>
        <w:t>Subtítulo:</w:t>
        <w:br/>
        <w:t xml:space="preserve">  Sector / muestra / fecha  </w:t>
      </w:r>
    </w:p>
    <w:p>
      <w:pPr>
        <w:pStyle w:val="ListBullet"/>
        <w:keepLines w:val="1"/>
        <w:keepNext w:val="1"/>
        <w:widowControl w:val="1"/>
      </w:pPr>
      <w:r>
        <w:t xml:space="preserve">Autor / entidad responsable  </w:t>
      </w:r>
    </w:p>
    <w:p>
      <w:pPr>
        <w:pStyle w:val="ListBullet"/>
        <w:keepLines w:val="1"/>
        <w:widowControl w:val="1"/>
      </w:pPr>
      <w:r>
        <w:t xml:space="preserve">Logotipos correspondientes  </w:t>
      </w:r>
    </w:p>
    <w:p>
      <w:pPr>
        <w:pStyle w:val="Heading2"/>
        <w:keepNext/>
        <w:keepLines/>
      </w:pPr>
      <w:r>
        <w:rPr>
          <w:color w:val="0066CC"/>
        </w:rPr>
        <w:t>Diapositiva 2 – Resumen ejecutivo</w:t>
      </w:r>
    </w:p>
    <w:p>
      <w:pPr>
        <w:pStyle w:val="ListBullet"/>
        <w:keepLines w:val="1"/>
        <w:keepNext w:val="1"/>
        <w:widowControl w:val="1"/>
      </w:pPr>
      <w:r>
        <w:t>3–5 ideas clave:</w:t>
      </w:r>
    </w:p>
    <w:p>
      <w:pPr>
        <w:pStyle w:val="ListBullet"/>
        <w:keepLines w:val="1"/>
        <w:keepNext w:val="1"/>
        <w:widowControl w:val="1"/>
      </w:pPr>
      <w:r>
        <w:t xml:space="preserve">Nivel medio de madurez global (IGM) y comparativa sectorial.  </w:t>
      </w:r>
    </w:p>
    <w:p>
      <w:pPr>
        <w:pStyle w:val="ListBullet"/>
        <w:keepLines w:val="1"/>
        <w:keepNext w:val="1"/>
        <w:widowControl w:val="1"/>
      </w:pPr>
      <w:r>
        <w:t xml:space="preserve">Pilares más fuertes y más débiles.  </w:t>
      </w:r>
    </w:p>
    <w:p>
      <w:pPr>
        <w:pStyle w:val="ListBullet"/>
        <w:keepLines w:val="1"/>
        <w:keepNext w:val="1"/>
        <w:widowControl w:val="1"/>
      </w:pPr>
      <w:r>
        <w:t xml:space="preserve">Principales riesgos estratégicos identificados.  </w:t>
      </w:r>
    </w:p>
    <w:p>
      <w:pPr>
        <w:pStyle w:val="ListBullet"/>
        <w:keepLines w:val="1"/>
        <w:widowControl w:val="1"/>
      </w:pPr>
      <w:r>
        <w:t xml:space="preserve">Mensaje claro sobre necesidad de inversión / transformación.  </w:t>
      </w:r>
    </w:p>
    <w:p>
      <w:pPr>
        <w:pStyle w:val="Heading2"/>
        <w:keepNext/>
        <w:keepLines/>
      </w:pPr>
      <w:r>
        <w:rPr>
          <w:color w:val="0066CC"/>
        </w:rPr>
        <w:t>Diapositiva 3 – Marco de referencia</w:t>
      </w:r>
    </w:p>
    <w:p>
      <w:pPr>
        <w:pStyle w:val="ListBullet"/>
        <w:keepLines w:val="1"/>
        <w:keepNext w:val="1"/>
        <w:widowControl w:val="1"/>
      </w:pPr>
      <w:r>
        <w:t xml:space="preserve">Breve explicación del GCI (5 pilares).[web:28][web:38]  </w:t>
      </w:r>
    </w:p>
    <w:p>
      <w:pPr>
        <w:pStyle w:val="ListBullet"/>
        <w:keepLines w:val="1"/>
        <w:keepNext w:val="1"/>
        <w:widowControl w:val="1"/>
      </w:pPr>
      <w:r>
        <w:t xml:space="preserve">Adaptación del marco al nivel empresarial.  </w:t>
      </w:r>
    </w:p>
    <w:p>
      <w:pPr>
        <w:pStyle w:val="ListBullet"/>
        <w:keepLines w:val="1"/>
        <w:widowControl w:val="1"/>
      </w:pPr>
      <w:r>
        <w:t xml:space="preserve">Relación con objetivos nacionales (p. ej., España Digital 2026).[web:39]  </w:t>
      </w:r>
    </w:p>
    <w:p>
      <w:pPr>
        <w:pStyle w:val="Heading2"/>
        <w:keepNext/>
        <w:keepLines/>
      </w:pPr>
      <w:r>
        <w:rPr>
          <w:color w:val="0066CC"/>
        </w:rPr>
        <w:t>Diapositiva 4 – Metodología</w:t>
      </w:r>
    </w:p>
    <w:p>
      <w:pPr>
        <w:pStyle w:val="ListBullet"/>
        <w:keepLines w:val="1"/>
        <w:keepNext w:val="1"/>
        <w:widowControl w:val="1"/>
      </w:pPr>
      <w:r>
        <w:t xml:space="preserve">Población objetivo y tamaño de muestra.  </w:t>
      </w:r>
    </w:p>
    <w:p>
      <w:pPr>
        <w:pStyle w:val="ListBullet"/>
        <w:keepLines w:val="1"/>
        <w:keepNext w:val="1"/>
        <w:widowControl w:val="1"/>
      </w:pPr>
      <w:r>
        <w:t xml:space="preserve">Sectores y tamaños de empresa representados.  </w:t>
      </w:r>
    </w:p>
    <w:p>
      <w:pPr>
        <w:pStyle w:val="ListBullet"/>
        <w:keepLines w:val="1"/>
        <w:keepNext w:val="1"/>
        <w:widowControl w:val="1"/>
      </w:pPr>
      <w:r>
        <w:t xml:space="preserve">Herramienta de recogida (encuesta online, entrevistas, etc.).  </w:t>
      </w:r>
    </w:p>
    <w:p>
      <w:pPr>
        <w:pStyle w:val="ListBullet"/>
        <w:keepLines w:val="1"/>
        <w:widowControl w:val="1"/>
      </w:pPr>
      <w:r>
        <w:t xml:space="preserve">Proceso de cálculo del IGM (muy sintético).  </w:t>
      </w:r>
    </w:p>
    <w:p>
      <w:pPr>
        <w:pStyle w:val="Heading2"/>
        <w:keepNext/>
        <w:keepLines/>
      </w:pPr>
      <w:r>
        <w:rPr>
          <w:color w:val="0066CC"/>
        </w:rPr>
        <w:t>Diapositiva 5 – Perfil de la muestra</w:t>
      </w:r>
    </w:p>
    <w:p>
      <w:pPr>
        <w:pStyle w:val="ListBullet"/>
        <w:keepLines w:val="1"/>
        <w:keepNext w:val="1"/>
        <w:widowControl w:val="1"/>
      </w:pPr>
      <w:r>
        <w:t>Gráficos (barras / tarta):</w:t>
      </w:r>
    </w:p>
    <w:p>
      <w:pPr>
        <w:pStyle w:val="ListBullet"/>
        <w:keepLines w:val="1"/>
        <w:keepNext w:val="1"/>
        <w:widowControl w:val="1"/>
      </w:pPr>
      <w:r>
        <w:t xml:space="preserve">Distribución por sector.  </w:t>
      </w:r>
    </w:p>
    <w:p>
      <w:pPr>
        <w:pStyle w:val="ListBullet"/>
        <w:keepLines w:val="1"/>
        <w:widowControl w:val="1"/>
      </w:pPr>
      <w:r>
        <w:t xml:space="preserve">Distribución por tamaño de empresa.  </w:t>
      </w:r>
    </w:p>
    <w:p>
      <w:pPr>
        <w:pStyle w:val="Heading2"/>
        <w:keepNext/>
        <w:keepLines/>
      </w:pPr>
      <w:r>
        <w:rPr>
          <w:color w:val="0066CC"/>
        </w:rPr>
        <w:t>Diapositiva 6 – Resultados globales (IGM)</w:t>
      </w:r>
    </w:p>
    <w:p>
      <w:pPr>
        <w:pStyle w:val="ListBullet"/>
        <w:keepLines w:val="1"/>
        <w:keepNext w:val="1"/>
        <w:widowControl w:val="1"/>
      </w:pPr>
      <w:r>
        <w:t xml:space="preserve">Gráfico de barras: IGM medio por sector.  </w:t>
      </w:r>
    </w:p>
    <w:p>
      <w:pPr>
        <w:pStyle w:val="ListBullet"/>
        <w:keepLines w:val="1"/>
        <w:keepNext w:val="1"/>
        <w:widowControl w:val="1"/>
      </w:pPr>
      <w:r>
        <w:t>Comentario textual:</w:t>
      </w:r>
    </w:p>
    <w:p>
      <w:pPr>
        <w:pStyle w:val="ListBullet"/>
        <w:keepLines w:val="1"/>
        <w:keepNext w:val="1"/>
        <w:widowControl w:val="1"/>
      </w:pPr>
      <w:r>
        <w:t xml:space="preserve">Sectores por encima / por debajo de la media.  </w:t>
      </w:r>
    </w:p>
    <w:p>
      <w:pPr>
        <w:pStyle w:val="ListBullet"/>
        <w:keepLines w:val="1"/>
        <w:widowControl w:val="1"/>
      </w:pPr>
      <w:r>
        <w:t xml:space="preserve">Diferencias significativas.  </w:t>
      </w:r>
    </w:p>
    <w:p>
      <w:pPr>
        <w:pStyle w:val="Heading2"/>
        <w:keepNext/>
        <w:keepLines/>
      </w:pPr>
      <w:r>
        <w:rPr>
          <w:color w:val="0066CC"/>
        </w:rPr>
        <w:t>Diapositiva 7 – Pilares GCI – Vista general</w:t>
      </w:r>
    </w:p>
    <w:p>
      <w:pPr>
        <w:pStyle w:val="ListBullet"/>
        <w:keepLines w:val="1"/>
        <w:keepNext w:val="1"/>
        <w:widowControl w:val="1"/>
      </w:pPr>
      <w:r>
        <w:t xml:space="preserve">Gráfico radar (5 pilares) con media global de la muestra.  </w:t>
      </w:r>
    </w:p>
    <w:p>
      <w:pPr>
        <w:pStyle w:val="ListBullet"/>
        <w:keepLines w:val="1"/>
        <w:keepNext w:val="1"/>
        <w:widowControl w:val="1"/>
      </w:pPr>
      <w:r>
        <w:t>Mensaje principal:</w:t>
      </w:r>
    </w:p>
    <w:p>
      <w:pPr>
        <w:pStyle w:val="ListBullet"/>
        <w:keepLines w:val="1"/>
        <w:keepNext w:val="1"/>
        <w:widowControl w:val="1"/>
      </w:pPr>
      <w:r>
        <w:t xml:space="preserve">Pilares fuertes.  </w:t>
      </w:r>
    </w:p>
    <w:p>
      <w:pPr>
        <w:pStyle w:val="ListBullet"/>
        <w:keepLines w:val="1"/>
        <w:widowControl w:val="1"/>
      </w:pPr>
      <w:r>
        <w:t xml:space="preserve">Pilares débiles.  </w:t>
      </w:r>
    </w:p>
    <w:p>
      <w:pPr>
        <w:pStyle w:val="Heading2"/>
        <w:keepNext/>
        <w:keepLines/>
      </w:pPr>
      <w:r>
        <w:rPr>
          <w:color w:val="0066CC"/>
        </w:rPr>
        <w:t>Diapositiva 8 – Pilar Jurídico</w:t>
      </w:r>
    </w:p>
    <w:p>
      <w:pPr>
        <w:pStyle w:val="ListBullet"/>
        <w:keepLines w:val="1"/>
        <w:keepNext w:val="1"/>
        <w:widowControl w:val="1"/>
      </w:pPr>
      <w:r>
        <w:t>Indicadores seleccionados:</w:t>
      </w:r>
    </w:p>
    <w:p>
      <w:pPr>
        <w:pStyle w:val="ListBullet"/>
        <w:keepLines w:val="1"/>
        <w:keepNext w:val="1"/>
        <w:widowControl w:val="1"/>
      </w:pPr>
      <w:r>
        <w:t xml:space="preserve">Inventario normativo.  </w:t>
      </w:r>
    </w:p>
    <w:p>
      <w:pPr>
        <w:pStyle w:val="ListBullet"/>
        <w:keepLines w:val="1"/>
        <w:keepNext w:val="1"/>
        <w:widowControl w:val="1"/>
      </w:pPr>
      <w:r>
        <w:t xml:space="preserve">Contratos con cláusulas de seguridad.  </w:t>
      </w:r>
    </w:p>
    <w:p>
      <w:pPr>
        <w:pStyle w:val="ListBullet"/>
        <w:keepLines w:val="1"/>
        <w:keepNext w:val="1"/>
        <w:widowControl w:val="1"/>
      </w:pPr>
      <w:r>
        <w:t xml:space="preserve">Procedimientos de evidencia digital.  </w:t>
      </w:r>
    </w:p>
    <w:p>
      <w:pPr>
        <w:pStyle w:val="ListBullet"/>
        <w:keepLines w:val="1"/>
        <w:keepNext w:val="1"/>
        <w:widowControl w:val="1"/>
      </w:pPr>
      <w:r>
        <w:t xml:space="preserve">Gráfico de barras / tablas con niveles de madurez.  </w:t>
      </w:r>
    </w:p>
    <w:p>
      <w:pPr>
        <w:pStyle w:val="ListBullet"/>
        <w:keepLines w:val="1"/>
        <w:widowControl w:val="1"/>
      </w:pPr>
      <w:r>
        <w:t xml:space="preserve">2–3 mensajes clave y riesgos asociados.  </w:t>
      </w:r>
    </w:p>
    <w:p>
      <w:pPr>
        <w:pStyle w:val="Heading2"/>
        <w:keepNext/>
        <w:keepLines/>
      </w:pPr>
      <w:r>
        <w:rPr>
          <w:color w:val="0066CC"/>
        </w:rPr>
        <w:t>Diapositiva 9 – Pilar Técnico</w:t>
      </w:r>
    </w:p>
    <w:p>
      <w:pPr>
        <w:pStyle w:val="ListBullet"/>
        <w:keepLines w:val="1"/>
        <w:keepNext w:val="1"/>
        <w:widowControl w:val="1"/>
      </w:pPr>
      <w:r>
        <w:t>Indicadores seleccionados:</w:t>
      </w:r>
    </w:p>
    <w:p>
      <w:pPr>
        <w:pStyle w:val="ListBullet"/>
        <w:keepLines w:val="1"/>
        <w:keepNext w:val="1"/>
        <w:widowControl w:val="1"/>
      </w:pPr>
      <w:r>
        <w:t xml:space="preserve">Inventario de activos.  </w:t>
      </w:r>
    </w:p>
    <w:p>
      <w:pPr>
        <w:pStyle w:val="ListBullet"/>
        <w:keepLines w:val="1"/>
        <w:keepNext w:val="1"/>
        <w:widowControl w:val="1"/>
      </w:pPr>
      <w:r>
        <w:t xml:space="preserve">Nivel de segmentación / Zero Trust.  </w:t>
      </w:r>
    </w:p>
    <w:p>
      <w:pPr>
        <w:pStyle w:val="ListBullet"/>
        <w:keepLines w:val="1"/>
        <w:keepNext w:val="1"/>
        <w:widowControl w:val="1"/>
      </w:pPr>
      <w:r>
        <w:t xml:space="preserve">SOC / monitorización.  </w:t>
      </w:r>
    </w:p>
    <w:p>
      <w:pPr>
        <w:pStyle w:val="ListBullet"/>
        <w:keepLines w:val="1"/>
        <w:keepNext w:val="1"/>
        <w:widowControl w:val="1"/>
      </w:pPr>
      <w:r>
        <w:t xml:space="preserve">Copias de seguridad y pruebas de restauración.  </w:t>
      </w:r>
    </w:p>
    <w:p>
      <w:pPr>
        <w:pStyle w:val="ListBullet"/>
        <w:keepLines w:val="1"/>
        <w:keepNext w:val="1"/>
        <w:widowControl w:val="1"/>
      </w:pPr>
      <w:r>
        <w:t>Gráfico + mensajes clave:</w:t>
      </w:r>
    </w:p>
    <w:p>
      <w:pPr>
        <w:pStyle w:val="ListBullet"/>
        <w:keepLines w:val="1"/>
        <w:widowControl w:val="1"/>
      </w:pPr>
      <w:r>
        <w:t xml:space="preserve">Brechas más preocupantes.  </w:t>
      </w:r>
    </w:p>
    <w:p>
      <w:pPr>
        <w:pStyle w:val="Heading2"/>
        <w:keepNext/>
        <w:keepLines/>
      </w:pPr>
      <w:r>
        <w:rPr>
          <w:color w:val="0066CC"/>
        </w:rPr>
        <w:t>Diapositiva 10 – Pilar Organizativo</w:t>
      </w:r>
    </w:p>
    <w:p>
      <w:pPr>
        <w:pStyle w:val="ListBullet"/>
        <w:keepLines w:val="1"/>
        <w:keepNext w:val="1"/>
        <w:widowControl w:val="1"/>
      </w:pPr>
      <w:r>
        <w:t>Indicadores seleccionados:</w:t>
      </w:r>
    </w:p>
    <w:p>
      <w:pPr>
        <w:pStyle w:val="ListBullet"/>
        <w:keepLines w:val="1"/>
        <w:keepNext w:val="1"/>
        <w:widowControl w:val="1"/>
      </w:pPr>
      <w:r>
        <w:t xml:space="preserve">Estrategia de ciberseguridad.  </w:t>
      </w:r>
    </w:p>
    <w:p>
      <w:pPr>
        <w:pStyle w:val="ListBullet"/>
        <w:keepLines w:val="1"/>
        <w:keepNext w:val="1"/>
        <w:widowControl w:val="1"/>
      </w:pPr>
      <w:r>
        <w:t xml:space="preserve">Rol y reporting del CISO.  </w:t>
      </w:r>
    </w:p>
    <w:p>
      <w:pPr>
        <w:pStyle w:val="ListBullet"/>
        <w:keepLines w:val="1"/>
        <w:keepNext w:val="1"/>
        <w:widowControl w:val="1"/>
      </w:pPr>
      <w:r>
        <w:t xml:space="preserve">Gestión de riesgos y planes de continuidad.  </w:t>
      </w:r>
    </w:p>
    <w:p>
      <w:pPr>
        <w:pStyle w:val="ListBullet"/>
        <w:keepLines w:val="1"/>
        <w:keepNext w:val="1"/>
        <w:widowControl w:val="1"/>
      </w:pPr>
      <w:r>
        <w:t>Comentario:</w:t>
      </w:r>
    </w:p>
    <w:p>
      <w:pPr>
        <w:pStyle w:val="ListBullet"/>
        <w:keepLines w:val="1"/>
        <w:widowControl w:val="1"/>
      </w:pPr>
      <w:r>
        <w:t xml:space="preserve">Grado de integración de la ciberseguridad en la agenda de negocio.  </w:t>
      </w:r>
    </w:p>
    <w:p>
      <w:pPr>
        <w:pStyle w:val="Heading2"/>
        <w:keepNext/>
        <w:keepLines/>
      </w:pPr>
      <w:r>
        <w:rPr>
          <w:color w:val="0066CC"/>
        </w:rPr>
        <w:t>Diapositiva 11 – Pilar Desarrollo de Capacidades</w:t>
      </w:r>
    </w:p>
    <w:p>
      <w:pPr>
        <w:pStyle w:val="ListBullet"/>
        <w:keepLines w:val="1"/>
        <w:keepNext w:val="1"/>
        <w:widowControl w:val="1"/>
      </w:pPr>
      <w:r>
        <w:t>Indicadores seleccionados:</w:t>
      </w:r>
    </w:p>
    <w:p>
      <w:pPr>
        <w:pStyle w:val="ListBullet"/>
        <w:keepLines w:val="1"/>
        <w:keepNext w:val="1"/>
        <w:widowControl w:val="1"/>
      </w:pPr>
      <w:r>
        <w:t xml:space="preserve">Formación y concienciación de empleados.  </w:t>
      </w:r>
    </w:p>
    <w:p>
      <w:pPr>
        <w:pStyle w:val="ListBullet"/>
        <w:keepLines w:val="1"/>
        <w:keepNext w:val="1"/>
        <w:widowControl w:val="1"/>
      </w:pPr>
      <w:r>
        <w:t xml:space="preserve">Formación específica a directivos.  </w:t>
      </w:r>
    </w:p>
    <w:p>
      <w:pPr>
        <w:pStyle w:val="ListBullet"/>
        <w:keepLines w:val="1"/>
        <w:keepNext w:val="1"/>
        <w:widowControl w:val="1"/>
      </w:pPr>
      <w:r>
        <w:t xml:space="preserve">Dimensionamiento y plan de carrera del equipo de ciberseguridad.  </w:t>
      </w:r>
    </w:p>
    <w:p>
      <w:pPr>
        <w:pStyle w:val="ListBullet"/>
        <w:keepLines w:val="1"/>
        <w:keepNext w:val="1"/>
        <w:widowControl w:val="1"/>
      </w:pPr>
      <w:r>
        <w:t>Destacar:</w:t>
      </w:r>
    </w:p>
    <w:p>
      <w:pPr>
        <w:pStyle w:val="ListBullet"/>
        <w:keepLines w:val="1"/>
        <w:widowControl w:val="1"/>
      </w:pPr>
      <w:r>
        <w:t xml:space="preserve">Brechas de talento.  </w:t>
      </w:r>
    </w:p>
    <w:p>
      <w:pPr>
        <w:pStyle w:val="Heading2"/>
        <w:keepNext/>
        <w:keepLines/>
      </w:pPr>
      <w:r>
        <w:rPr>
          <w:color w:val="0066CC"/>
        </w:rPr>
        <w:t>Diapositiva 12 – Pilar Cooperación</w:t>
      </w:r>
    </w:p>
    <w:p>
      <w:pPr>
        <w:pStyle w:val="ListBullet"/>
        <w:keepLines w:val="1"/>
        <w:keepNext w:val="1"/>
        <w:widowControl w:val="1"/>
      </w:pPr>
      <w:r>
        <w:t>Indicadores seleccionados:</w:t>
      </w:r>
    </w:p>
    <w:p>
      <w:pPr>
        <w:pStyle w:val="ListBullet"/>
        <w:keepLines w:val="1"/>
        <w:keepNext w:val="1"/>
        <w:widowControl w:val="1"/>
      </w:pPr>
      <w:r>
        <w:t xml:space="preserve">Participación en foros sectoriales.  </w:t>
      </w:r>
    </w:p>
    <w:p>
      <w:pPr>
        <w:pStyle w:val="ListBullet"/>
        <w:keepLines w:val="1"/>
        <w:keepNext w:val="1"/>
        <w:widowControl w:val="1"/>
      </w:pPr>
      <w:r>
        <w:t xml:space="preserve">Intercambio de información de amenazas.  </w:t>
      </w:r>
    </w:p>
    <w:p>
      <w:pPr>
        <w:pStyle w:val="ListBullet"/>
        <w:keepLines w:val="1"/>
        <w:keepNext w:val="1"/>
        <w:widowControl w:val="1"/>
      </w:pPr>
      <w:r>
        <w:t xml:space="preserve">Ejercicios conjuntos.  </w:t>
      </w:r>
    </w:p>
    <w:p>
      <w:pPr>
        <w:pStyle w:val="ListBullet"/>
        <w:keepLines w:val="1"/>
        <w:keepNext w:val="1"/>
        <w:widowControl w:val="1"/>
      </w:pPr>
      <w:r>
        <w:t>Mensaje:</w:t>
      </w:r>
    </w:p>
    <w:p>
      <w:pPr>
        <w:pStyle w:val="ListBullet"/>
        <w:keepLines w:val="1"/>
        <w:widowControl w:val="1"/>
      </w:pPr>
      <w:r>
        <w:t xml:space="preserve">Nivel de integración en el ecosistema de ciberseguridad.  </w:t>
      </w:r>
    </w:p>
    <w:p>
      <w:pPr>
        <w:pStyle w:val="Heading2"/>
        <w:keepNext/>
        <w:keepLines/>
      </w:pPr>
      <w:r>
        <w:rPr>
          <w:color w:val="0066CC"/>
        </w:rPr>
        <w:t>Diapositiva 13 – Inversión y ROI</w:t>
      </w:r>
    </w:p>
    <w:p>
      <w:pPr>
        <w:pStyle w:val="ListBullet"/>
        <w:keepLines w:val="1"/>
        <w:keepNext w:val="1"/>
        <w:widowControl w:val="1"/>
      </w:pPr>
      <w:r>
        <w:t>Datos clave:</w:t>
      </w:r>
    </w:p>
    <w:p>
      <w:pPr>
        <w:pStyle w:val="ListBullet"/>
        <w:keepLines w:val="1"/>
        <w:keepNext w:val="1"/>
        <w:widowControl w:val="1"/>
      </w:pPr>
      <w:r>
        <w:t xml:space="preserve">% de presupuesto TI dedicado a ciberseguridad.  </w:t>
      </w:r>
    </w:p>
    <w:p>
      <w:pPr>
        <w:pStyle w:val="ListBullet"/>
        <w:keepLines w:val="1"/>
        <w:keepNext w:val="1"/>
        <w:widowControl w:val="1"/>
      </w:pPr>
      <w:r>
        <w:t xml:space="preserve">Evolución de la inversión en 3 años.  </w:t>
      </w:r>
    </w:p>
    <w:p>
      <w:pPr>
        <w:pStyle w:val="ListBullet"/>
        <w:keepLines w:val="1"/>
        <w:keepNext w:val="1"/>
        <w:widowControl w:val="1"/>
      </w:pPr>
      <w:r>
        <w:t xml:space="preserve">Indicador de ROI (cuando se disponga de la serie temporal).  </w:t>
      </w:r>
    </w:p>
    <w:p>
      <w:pPr>
        <w:pStyle w:val="ListBullet"/>
        <w:keepLines w:val="1"/>
        <w:widowControl w:val="1"/>
      </w:pPr>
      <w:r>
        <w:t xml:space="preserve">Gráficos combinados (barras + línea).  </w:t>
      </w:r>
    </w:p>
    <w:p>
      <w:pPr>
        <w:pStyle w:val="Heading2"/>
        <w:keepNext/>
        <w:keepLines/>
      </w:pPr>
      <w:r>
        <w:rPr>
          <w:color w:val="0066CC"/>
        </w:rPr>
        <w:t>Diapositiva 14 – Patrones y tipologías</w:t>
      </w:r>
    </w:p>
    <w:p>
      <w:pPr>
        <w:pStyle w:val="ListBullet"/>
        <w:keepLines w:val="1"/>
        <w:keepNext w:val="1"/>
        <w:widowControl w:val="1"/>
      </w:pPr>
      <w:r>
        <w:t>Identificación de “arquetipos”:</w:t>
      </w:r>
    </w:p>
    <w:p>
      <w:pPr>
        <w:pStyle w:val="ListBullet"/>
        <w:keepLines w:val="1"/>
        <w:keepNext w:val="1"/>
        <w:widowControl w:val="1"/>
      </w:pPr>
      <w:r>
        <w:t xml:space="preserve">“Alta tecnología, baja gobernanza”.  </w:t>
      </w:r>
    </w:p>
    <w:p>
      <w:pPr>
        <w:pStyle w:val="ListBullet"/>
        <w:keepLines w:val="1"/>
        <w:keepNext w:val="1"/>
        <w:widowControl w:val="1"/>
      </w:pPr>
      <w:r>
        <w:t xml:space="preserve">“Cumplimiento fuerte, capacidades débiles”.  </w:t>
      </w:r>
    </w:p>
    <w:p>
      <w:pPr>
        <w:pStyle w:val="ListBullet"/>
        <w:keepLines w:val="1"/>
        <w:keepNext w:val="1"/>
        <w:widowControl w:val="1"/>
      </w:pPr>
      <w:r>
        <w:t xml:space="preserve">“Equilibrio alto en todos los pilares”.  </w:t>
      </w:r>
    </w:p>
    <w:p>
      <w:pPr>
        <w:pStyle w:val="ListBullet"/>
        <w:keepLines w:val="1"/>
        <w:widowControl w:val="1"/>
      </w:pPr>
      <w:r>
        <w:t xml:space="preserve">Descripción breve de cada arquetipo y riesgos asociados.  </w:t>
      </w:r>
    </w:p>
    <w:p>
      <w:pPr>
        <w:pStyle w:val="Heading2"/>
        <w:keepNext/>
        <w:keepLines/>
      </w:pPr>
      <w:r>
        <w:rPr>
          <w:color w:val="0066CC"/>
        </w:rPr>
        <w:t>Diapositiva 15 – Recomendaciones estratégicas</w:t>
      </w:r>
    </w:p>
    <w:p>
      <w:pPr>
        <w:pStyle w:val="ListBullet"/>
        <w:keepLines w:val="1"/>
        <w:keepNext w:val="1"/>
        <w:widowControl w:val="1"/>
      </w:pPr>
      <w:r>
        <w:t>3–5 recomendaciones macro:</w:t>
      </w:r>
    </w:p>
    <w:p>
      <w:pPr>
        <w:pStyle w:val="ListBullet"/>
        <w:keepLines w:val="1"/>
        <w:keepNext w:val="1"/>
        <w:widowControl w:val="1"/>
      </w:pPr>
      <w:r>
        <w:t xml:space="preserve">Priorizar inversiones en pilar X y Y.  </w:t>
      </w:r>
    </w:p>
    <w:p>
      <w:pPr>
        <w:pStyle w:val="ListBullet"/>
        <w:keepLines w:val="1"/>
        <w:keepNext w:val="1"/>
        <w:widowControl w:val="1"/>
      </w:pPr>
      <w:r>
        <w:t xml:space="preserve">Fortalecer talento y formación.  </w:t>
      </w:r>
    </w:p>
    <w:p>
      <w:pPr>
        <w:pStyle w:val="ListBullet"/>
        <w:keepLines w:val="1"/>
        <w:keepNext w:val="1"/>
        <w:widowControl w:val="1"/>
      </w:pPr>
      <w:r>
        <w:t xml:space="preserve">Impulsar cooperación sectorial.  </w:t>
      </w:r>
    </w:p>
    <w:p>
      <w:pPr>
        <w:pStyle w:val="ListBullet"/>
        <w:keepLines w:val="1"/>
        <w:widowControl w:val="1"/>
      </w:pPr>
      <w:r>
        <w:t xml:space="preserve">Alinear con iniciativas nacionales / regulatorias.  </w:t>
      </w:r>
    </w:p>
    <w:p>
      <w:pPr>
        <w:pStyle w:val="Heading2"/>
        <w:keepNext/>
        <w:keepLines/>
      </w:pPr>
      <w:r>
        <w:rPr>
          <w:color w:val="0066CC"/>
        </w:rPr>
        <w:t>Diapositiva 16 – Roadmap 12–24 meses</w:t>
      </w:r>
    </w:p>
    <w:p>
      <w:pPr>
        <w:pStyle w:val="ListBullet"/>
        <w:keepLines w:val="1"/>
        <w:keepNext w:val="1"/>
        <w:widowControl w:val="1"/>
      </w:pPr>
      <w:r>
        <w:t>Tabla o gráfico:</w:t>
      </w:r>
    </w:p>
    <w:p>
      <w:pPr>
        <w:pStyle w:val="ListBullet"/>
        <w:keepLines w:val="1"/>
        <w:keepNext w:val="1"/>
        <w:widowControl w:val="1"/>
      </w:pPr>
      <w:r>
        <w:t xml:space="preserve">Corto plazo (0–6 meses): quick wins.  </w:t>
      </w:r>
    </w:p>
    <w:p>
      <w:pPr>
        <w:pStyle w:val="ListBullet"/>
        <w:keepLines w:val="1"/>
        <w:keepNext w:val="1"/>
        <w:widowControl w:val="1"/>
      </w:pPr>
      <w:r>
        <w:t xml:space="preserve">Medio plazo (6–18 meses): proyectos estructurales.  </w:t>
      </w:r>
    </w:p>
    <w:p>
      <w:pPr>
        <w:pStyle w:val="ListBullet"/>
        <w:keepLines w:val="1"/>
        <w:widowControl w:val="1"/>
      </w:pPr>
      <w:r>
        <w:t xml:space="preserve">Largo plazo (18–36 meses): transformación y optimización.  </w:t>
      </w:r>
    </w:p>
    <w:p>
      <w:pPr>
        <w:pStyle w:val="Heading2"/>
        <w:keepNext/>
        <w:keepLines/>
      </w:pPr>
      <w:r>
        <w:rPr>
          <w:color w:val="0066CC"/>
        </w:rPr>
        <w:t>Diapositiva 17 – Conclusión</w:t>
      </w:r>
    </w:p>
    <w:p>
      <w:pPr>
        <w:pStyle w:val="ListBullet"/>
        <w:keepLines w:val="1"/>
        <w:keepNext w:val="1"/>
        <w:widowControl w:val="1"/>
      </w:pPr>
      <w:r>
        <w:t>Mensaje final:</w:t>
      </w:r>
    </w:p>
    <w:p>
      <w:pPr>
        <w:pStyle w:val="ListBullet"/>
        <w:keepLines w:val="1"/>
        <w:keepNext w:val="1"/>
        <w:widowControl w:val="1"/>
      </w:pPr>
      <w:r>
        <w:t xml:space="preserve">La ciberseguridad como factor estratégico de competitividad y resiliencia.  </w:t>
      </w:r>
    </w:p>
    <w:p>
      <w:pPr>
        <w:pStyle w:val="ListBullet"/>
        <w:keepLines w:val="1"/>
        <w:widowControl w:val="1"/>
      </w:pPr>
      <w:r>
        <w:t xml:space="preserve">Importancia de repetir la medición periódicamente para seguir la evolución.  </w:t>
      </w:r>
    </w:p>
    <w:p>
      <w:pPr>
        <w:pStyle w:val="Heading2"/>
        <w:keepNext/>
        <w:keepLines/>
      </w:pPr>
      <w:r>
        <w:rPr>
          <w:color w:val="0066CC"/>
        </w:rPr>
        <w:t>Diapositiva 18 – Anexos</w:t>
      </w:r>
    </w:p>
    <w:p>
      <w:pPr>
        <w:pStyle w:val="ListBullet"/>
        <w:keepLines w:val="1"/>
        <w:keepNext w:val="1"/>
        <w:widowControl w:val="1"/>
      </w:pPr>
      <w:r>
        <w:t xml:space="preserve">Detalles metodológicos adicionales.  </w:t>
      </w:r>
    </w:p>
    <w:p>
      <w:pPr>
        <w:pStyle w:val="ListBullet"/>
        <w:keepLines w:val="1"/>
        <w:keepNext w:val="1"/>
        <w:widowControl w:val="1"/>
      </w:pPr>
      <w:r>
        <w:t xml:space="preserve">Mapeo resumido a normativas relevantes (NIS2, ENS, etc.).  </w:t>
      </w:r>
    </w:p>
    <w:p>
      <w:pPr>
        <w:pStyle w:val="ListBullet"/>
        <w:keepLines w:val="1"/>
        <w:widowControl w:val="1"/>
      </w:pPr>
      <w:r>
        <w:t xml:space="preserve">Información de contacto.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