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en PowerPoint – GCI + GQM + PRAGMATIC</w:t>
      </w:r>
    </w:p>
    <w:p>
      <w:r>
        <w:t>Guion para presentar resultados de la encuesta, el IGM y el análisis de métricas bajo GQM y PRAGMATIC.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pPr>
        <w:pStyle w:val="ListBullet"/>
        <w:keepLines w:val="1"/>
        <w:keepNext w:val="1"/>
        <w:widowControl w:val="1"/>
      </w:pPr>
      <w:r>
        <w:t>Título:</w:t>
        <w:br/>
        <w:t xml:space="preserve">Madurez en Ciberseguridad e Indicadores GCI – Resultados GQM + PRAGMATIC </w:t>
      </w:r>
    </w:p>
    <w:p>
      <w:pPr>
        <w:pStyle w:val="ListBullet"/>
        <w:keepLines w:val="1"/>
        <w:keepNext w:val="1"/>
        <w:widowControl w:val="1"/>
      </w:pPr>
      <w:r>
        <w:t>Subtítulo:</w:t>
        <w:br/>
        <w:t xml:space="preserve">  Sector / ámbito / periodo de análisis  </w:t>
      </w:r>
    </w:p>
    <w:p>
      <w:pPr>
        <w:pStyle w:val="ListBullet"/>
        <w:keepLines w:val="1"/>
        <w:widowControl w:val="1"/>
      </w:pPr>
      <w:r>
        <w:t xml:space="preserve">Entidad responsable y logos  </w:t>
      </w:r>
    </w:p>
    <w:p>
      <w:pPr>
        <w:pStyle w:val="Heading2"/>
        <w:keepNext/>
        <w:keepLines/>
      </w:pPr>
      <w:r>
        <w:rPr>
          <w:color w:val="0066CC"/>
        </w:rPr>
        <w:t>Diapositiva 2 – Mensaje clave</w:t>
      </w:r>
    </w:p>
    <w:p>
      <w:pPr>
        <w:pStyle w:val="ListBullet"/>
        <w:keepLines w:val="1"/>
        <w:keepNext w:val="1"/>
        <w:widowControl w:val="1"/>
      </w:pPr>
      <w:r>
        <w:t>3–5 bullets:</w:t>
      </w:r>
    </w:p>
    <w:p>
      <w:pPr>
        <w:pStyle w:val="ListBullet"/>
        <w:keepLines w:val="1"/>
        <w:keepNext w:val="1"/>
        <w:widowControl w:val="1"/>
      </w:pPr>
      <w:r>
        <w:t xml:space="preserve">Nivel medio de madurez (IGM) de la muestra.  </w:t>
      </w:r>
    </w:p>
    <w:p>
      <w:pPr>
        <w:pStyle w:val="ListBullet"/>
        <w:keepLines w:val="1"/>
        <w:keepNext w:val="1"/>
        <w:widowControl w:val="1"/>
      </w:pPr>
      <w:r>
        <w:t xml:space="preserve">Pilares GCI más fuertes y más débiles.  </w:t>
      </w:r>
    </w:p>
    <w:p>
      <w:pPr>
        <w:pStyle w:val="ListBullet"/>
        <w:keepLines w:val="1"/>
        <w:keepNext w:val="1"/>
        <w:widowControl w:val="1"/>
      </w:pPr>
      <w:r>
        <w:t xml:space="preserve">Métricas clave seleccionadas con GQM + PRAGMATIC.  </w:t>
      </w:r>
    </w:p>
    <w:p>
      <w:pPr>
        <w:pStyle w:val="ListBullet"/>
        <w:keepLines w:val="1"/>
        <w:widowControl w:val="1"/>
      </w:pPr>
      <w:r>
        <w:t xml:space="preserve">Implicaciones para objetivos nacionales / sectoriales.  </w:t>
      </w:r>
    </w:p>
    <w:p>
      <w:pPr>
        <w:pStyle w:val="Heading2"/>
        <w:keepNext/>
        <w:keepLines/>
      </w:pPr>
      <w:r>
        <w:rPr>
          <w:color w:val="0066CC"/>
        </w:rPr>
        <w:t>Diapositiva 3 – Marco conceptual</w:t>
      </w:r>
    </w:p>
    <w:p>
      <w:pPr>
        <w:pStyle w:val="ListBullet"/>
        <w:keepLines w:val="1"/>
        <w:keepNext w:val="1"/>
        <w:widowControl w:val="1"/>
      </w:pPr>
      <w:r>
        <w:t>Esquema visual:</w:t>
      </w:r>
    </w:p>
    <w:p>
      <w:pPr>
        <w:pStyle w:val="ListBullet"/>
        <w:keepLines w:val="1"/>
        <w:keepNext w:val="1"/>
        <w:widowControl w:val="1"/>
      </w:pPr>
      <w:r>
        <w:t xml:space="preserve">GCI → 5 pilares.  </w:t>
      </w:r>
    </w:p>
    <w:p>
      <w:pPr>
        <w:pStyle w:val="ListBullet"/>
        <w:keepLines w:val="1"/>
        <w:keepNext w:val="1"/>
        <w:widowControl w:val="1"/>
      </w:pPr>
      <w:r>
        <w:t xml:space="preserve">GQM → Objetivo, Pregunta, Métrica.  </w:t>
      </w:r>
    </w:p>
    <w:p>
      <w:pPr>
        <w:pStyle w:val="ListBullet"/>
        <w:keepLines w:val="1"/>
        <w:keepNext w:val="1"/>
        <w:widowControl w:val="1"/>
      </w:pPr>
      <w:r>
        <w:t xml:space="preserve">PRAGMATIC → Evaluación de calidad de métricas.  </w:t>
      </w:r>
    </w:p>
    <w:p>
      <w:pPr>
        <w:pStyle w:val="ListBullet"/>
        <w:keepLines w:val="1"/>
        <w:widowControl w:val="1"/>
      </w:pPr>
      <w:r>
        <w:t xml:space="preserve">Breve texto: por qué se integran estos tres componentes.[web:20][web:42][web:47]  </w:t>
      </w:r>
    </w:p>
    <w:p>
      <w:pPr>
        <w:pStyle w:val="Heading2"/>
        <w:keepNext/>
        <w:keepLines/>
      </w:pPr>
      <w:r>
        <w:rPr>
          <w:color w:val="0066CC"/>
        </w:rPr>
        <w:t>Diapositiva 4 – Metodología</w:t>
      </w:r>
    </w:p>
    <w:p>
      <w:pPr>
        <w:pStyle w:val="ListBullet"/>
        <w:keepLines w:val="1"/>
        <w:keepNext w:val="1"/>
        <w:widowControl w:val="1"/>
      </w:pPr>
      <w:r>
        <w:t xml:space="preserve">Universo de organizaciones encuestadas.  </w:t>
      </w:r>
    </w:p>
    <w:p>
      <w:pPr>
        <w:pStyle w:val="ListBullet"/>
        <w:keepLines w:val="1"/>
        <w:keepNext w:val="1"/>
        <w:widowControl w:val="1"/>
      </w:pPr>
      <w:r>
        <w:t xml:space="preserve">Cuestionario basado en pilares GCI.  </w:t>
      </w:r>
    </w:p>
    <w:p>
      <w:pPr>
        <w:pStyle w:val="ListBullet"/>
        <w:keepLines w:val="1"/>
        <w:keepNext w:val="1"/>
        <w:widowControl w:val="1"/>
      </w:pPr>
      <w:r>
        <w:t xml:space="preserve">Cálculo del IGM (promedio de pilares).  </w:t>
      </w:r>
    </w:p>
    <w:p>
      <w:pPr>
        <w:pStyle w:val="ListBullet"/>
        <w:keepLines w:val="1"/>
        <w:widowControl w:val="1"/>
      </w:pPr>
      <w:r>
        <w:t xml:space="preserve">Evaluación PRAGMATIC de las métricas candidatas.  </w:t>
      </w:r>
    </w:p>
    <w:p>
      <w:pPr>
        <w:pStyle w:val="Heading2"/>
        <w:keepNext/>
        <w:keepLines/>
      </w:pPr>
      <w:r>
        <w:rPr>
          <w:color w:val="0066CC"/>
        </w:rPr>
        <w:t>Diapositiva 5 – Perfil de la muestra</w:t>
      </w:r>
    </w:p>
    <w:p>
      <w:pPr>
        <w:pStyle w:val="ListBullet"/>
        <w:keepLines w:val="1"/>
        <w:keepNext w:val="1"/>
        <w:widowControl w:val="1"/>
      </w:pPr>
      <w:r>
        <w:t>Gráficos:</w:t>
      </w:r>
    </w:p>
    <w:p>
      <w:pPr>
        <w:pStyle w:val="ListBullet"/>
        <w:keepLines w:val="1"/>
        <w:keepNext w:val="1"/>
        <w:widowControl w:val="1"/>
      </w:pPr>
      <w:r>
        <w:t xml:space="preserve">Distribución por sector.  </w:t>
      </w:r>
    </w:p>
    <w:p>
      <w:pPr>
        <w:pStyle w:val="ListBullet"/>
        <w:keepLines w:val="1"/>
        <w:widowControl w:val="1"/>
      </w:pPr>
      <w:r>
        <w:t xml:space="preserve">Distribución por tamaño de organización.  </w:t>
      </w:r>
    </w:p>
    <w:p>
      <w:pPr>
        <w:pStyle w:val="Heading2"/>
        <w:keepNext/>
        <w:keepLines/>
      </w:pPr>
      <w:r>
        <w:rPr>
          <w:color w:val="0066CC"/>
        </w:rPr>
        <w:t>Diapositiva 6 – IGM Global</w:t>
      </w:r>
    </w:p>
    <w:p>
      <w:pPr>
        <w:pStyle w:val="ListBullet"/>
        <w:keepLines w:val="1"/>
        <w:keepNext w:val="1"/>
        <w:widowControl w:val="1"/>
      </w:pPr>
      <w:r>
        <w:t xml:space="preserve">Gráfico de barras: IGM medio por sector.  </w:t>
      </w:r>
    </w:p>
    <w:p>
      <w:pPr>
        <w:pStyle w:val="ListBullet"/>
        <w:keepLines w:val="1"/>
        <w:keepNext w:val="1"/>
        <w:widowControl w:val="1"/>
      </w:pPr>
      <w:r>
        <w:t>Comentarios:</w:t>
      </w:r>
    </w:p>
    <w:p>
      <w:pPr>
        <w:pStyle w:val="ListBullet"/>
        <w:keepLines w:val="1"/>
        <w:keepNext w:val="1"/>
        <w:widowControl w:val="1"/>
      </w:pPr>
      <w:r>
        <w:t xml:space="preserve">Sectores con mayor madurez.  </w:t>
      </w:r>
    </w:p>
    <w:p>
      <w:pPr>
        <w:pStyle w:val="ListBullet"/>
        <w:keepLines w:val="1"/>
        <w:widowControl w:val="1"/>
      </w:pPr>
      <w:r>
        <w:t xml:space="preserve">Sectores con brechas más notables.  </w:t>
      </w:r>
    </w:p>
    <w:p>
      <w:pPr>
        <w:pStyle w:val="Heading2"/>
        <w:keepNext/>
        <w:keepLines/>
      </w:pPr>
      <w:r>
        <w:rPr>
          <w:color w:val="0066CC"/>
        </w:rPr>
        <w:t>Diapositiva 7 – Pilares GCI</w:t>
      </w:r>
    </w:p>
    <w:p>
      <w:pPr>
        <w:pStyle w:val="ListBullet"/>
        <w:keepLines w:val="1"/>
        <w:keepNext w:val="1"/>
        <w:widowControl w:val="1"/>
      </w:pPr>
      <w:r>
        <w:t xml:space="preserve">Gráfico radar: media de cada pilar (Legal, Técnico, Organizativo, Capacidades, Cooperación).  </w:t>
      </w:r>
    </w:p>
    <w:p>
      <w:pPr>
        <w:pStyle w:val="ListBullet"/>
        <w:keepLines w:val="1"/>
        <w:keepNext w:val="1"/>
        <w:widowControl w:val="1"/>
      </w:pPr>
      <w:r>
        <w:t>Mensaje:</w:t>
      </w:r>
    </w:p>
    <w:p>
      <w:pPr>
        <w:pStyle w:val="ListBullet"/>
        <w:keepLines w:val="1"/>
        <w:widowControl w:val="1"/>
      </w:pPr>
      <w:r>
        <w:t xml:space="preserve">Pilares que requieren atención prioritaria.  </w:t>
      </w:r>
    </w:p>
    <w:p>
      <w:pPr>
        <w:pStyle w:val="Heading2"/>
        <w:keepNext/>
        <w:keepLines/>
      </w:pPr>
      <w:r>
        <w:rPr>
          <w:color w:val="0066CC"/>
        </w:rPr>
        <w:t>Diapositiva 8 – Ejemplo de cadena GQM (Pilar Técnico)</w:t>
      </w:r>
    </w:p>
    <w:p>
      <w:pPr>
        <w:pStyle w:val="ListBullet"/>
        <w:keepLines w:val="1"/>
        <w:keepNext w:val="1"/>
        <w:widowControl w:val="1"/>
      </w:pPr>
      <w:r>
        <w:t>Visualizar:</w:t>
      </w:r>
    </w:p>
    <w:p>
      <w:pPr>
        <w:pStyle w:val="ListBullet"/>
        <w:keepLines w:val="1"/>
        <w:keepNext w:val="1"/>
        <w:widowControl w:val="1"/>
      </w:pPr>
      <w:r>
        <w:t xml:space="preserve">Objetivo G2.1.  </w:t>
      </w:r>
    </w:p>
    <w:p>
      <w:pPr>
        <w:pStyle w:val="ListBullet"/>
        <w:keepLines w:val="1"/>
        <w:keepNext w:val="1"/>
        <w:widowControl w:val="1"/>
      </w:pPr>
      <w:r>
        <w:t xml:space="preserve">Preguntas GQM: activos, monitorización, respuesta.  </w:t>
      </w:r>
    </w:p>
    <w:p>
      <w:pPr>
        <w:pStyle w:val="ListBullet"/>
        <w:keepLines w:val="1"/>
        <w:keepNext w:val="1"/>
        <w:widowControl w:val="1"/>
      </w:pPr>
      <w:r>
        <w:t xml:space="preserve">Métricas destacadas (MTTD, MTTR, cobertura CSIRT).  </w:t>
      </w:r>
    </w:p>
    <w:p>
      <w:pPr>
        <w:pStyle w:val="ListBullet"/>
        <w:keepLines w:val="1"/>
        <w:keepNext w:val="1"/>
        <w:widowControl w:val="1"/>
      </w:pPr>
      <w:r>
        <w:t>Comentario:</w:t>
      </w:r>
    </w:p>
    <w:p>
      <w:pPr>
        <w:pStyle w:val="ListBullet"/>
        <w:keepLines w:val="1"/>
        <w:widowControl w:val="1"/>
      </w:pPr>
      <w:r>
        <w:t xml:space="preserve">Cómo esta cadena permite trazar de objetivos nacionales a datos técnicos.  </w:t>
      </w:r>
    </w:p>
    <w:p>
      <w:pPr>
        <w:pStyle w:val="Heading2"/>
        <w:keepNext/>
        <w:keepLines/>
      </w:pPr>
      <w:r>
        <w:rPr>
          <w:color w:val="0066CC"/>
        </w:rPr>
        <w:t>Diapositiva 9 – Métricas PRAGMATIC Top</w:t>
      </w:r>
    </w:p>
    <w:p>
      <w:pPr>
        <w:pStyle w:val="ListBullet"/>
        <w:keepLines w:val="1"/>
        <w:keepNext w:val="1"/>
        <w:widowControl w:val="1"/>
      </w:pPr>
      <w:r>
        <w:t xml:space="preserve">Tabla con 5–10 métricas mejor valoradas (puntuación media PRAGMATIC).  </w:t>
      </w:r>
    </w:p>
    <w:p>
      <w:pPr>
        <w:pStyle w:val="ListBullet"/>
        <w:keepLines w:val="1"/>
        <w:keepNext w:val="1"/>
        <w:widowControl w:val="1"/>
      </w:pPr>
      <w:r>
        <w:t xml:space="preserve">Mostrar criterios clave (Predictivo, Relevante, Accionable, Rentable).  </w:t>
      </w:r>
    </w:p>
    <w:p>
      <w:pPr>
        <w:pStyle w:val="ListBullet"/>
        <w:keepLines w:val="1"/>
        <w:keepNext w:val="1"/>
        <w:widowControl w:val="1"/>
      </w:pPr>
      <w:r>
        <w:t>Comentario:</w:t>
      </w:r>
    </w:p>
    <w:p>
      <w:pPr>
        <w:pStyle w:val="ListBullet"/>
        <w:keepLines w:val="1"/>
        <w:widowControl w:val="1"/>
      </w:pPr>
      <w:r>
        <w:t xml:space="preserve">Justificación de por qué se consideran “métricas estrella”.  </w:t>
      </w:r>
    </w:p>
    <w:p>
      <w:pPr>
        <w:pStyle w:val="Heading2"/>
        <w:keepNext/>
        <w:keepLines/>
      </w:pPr>
      <w:r>
        <w:rPr>
          <w:color w:val="0066CC"/>
        </w:rPr>
        <w:t>Diapositiva 10 – Métricas a revisar</w:t>
      </w:r>
    </w:p>
    <w:p>
      <w:pPr>
        <w:pStyle w:val="ListBullet"/>
        <w:keepLines w:val="1"/>
        <w:keepNext w:val="1"/>
        <w:widowControl w:val="1"/>
      </w:pPr>
      <w:r>
        <w:t xml:space="preserve">Lista de métricas con baja puntuación PRAGMATIC.  </w:t>
      </w:r>
    </w:p>
    <w:p>
      <w:pPr>
        <w:pStyle w:val="ListBullet"/>
        <w:keepLines w:val="1"/>
        <w:keepNext w:val="1"/>
        <w:widowControl w:val="1"/>
      </w:pPr>
      <w:r>
        <w:t>Riesgos:</w:t>
      </w:r>
    </w:p>
    <w:p>
      <w:pPr>
        <w:pStyle w:val="ListBullet"/>
        <w:keepLines w:val="1"/>
        <w:keepNext w:val="1"/>
        <w:widowControl w:val="1"/>
      </w:pPr>
      <w:r>
        <w:t xml:space="preserve">Difíciles de medir.  </w:t>
      </w:r>
    </w:p>
    <w:p>
      <w:pPr>
        <w:pStyle w:val="ListBullet"/>
        <w:keepLines w:val="1"/>
        <w:keepNext w:val="1"/>
        <w:widowControl w:val="1"/>
      </w:pPr>
      <w:r>
        <w:t xml:space="preserve">Poca acción derivable.  </w:t>
      </w:r>
    </w:p>
    <w:p>
      <w:pPr>
        <w:pStyle w:val="ListBullet"/>
        <w:keepLines w:val="1"/>
        <w:keepNext w:val="1"/>
        <w:widowControl w:val="1"/>
      </w:pPr>
      <w:r>
        <w:t xml:space="preserve">Alta manipulabilidad.  </w:t>
      </w:r>
    </w:p>
    <w:p>
      <w:pPr>
        <w:pStyle w:val="ListBullet"/>
        <w:keepLines w:val="1"/>
        <w:keepNext w:val="1"/>
        <w:widowControl w:val="1"/>
      </w:pPr>
      <w:r>
        <w:t>Recomendación:</w:t>
      </w:r>
    </w:p>
    <w:p>
      <w:pPr>
        <w:pStyle w:val="ListBullet"/>
        <w:keepLines w:val="1"/>
        <w:widowControl w:val="1"/>
      </w:pPr>
      <w:r>
        <w:t xml:space="preserve">Reemplazarlas o combinarlas con métricas complementarias.  </w:t>
      </w:r>
    </w:p>
    <w:p>
      <w:pPr>
        <w:pStyle w:val="Heading2"/>
        <w:keepNext/>
        <w:keepLines/>
      </w:pPr>
      <w:r>
        <w:rPr>
          <w:color w:val="0066CC"/>
        </w:rPr>
        <w:t>Diapositiva 11 – Inversión y ROI</w:t>
      </w:r>
    </w:p>
    <w:p>
      <w:pPr>
        <w:pStyle w:val="ListBullet"/>
        <w:keepLines w:val="1"/>
        <w:keepNext w:val="1"/>
        <w:widowControl w:val="1"/>
      </w:pPr>
      <w:r>
        <w:t>Gráficos:</w:t>
      </w:r>
    </w:p>
    <w:p>
      <w:pPr>
        <w:pStyle w:val="ListBullet"/>
        <w:keepLines w:val="1"/>
        <w:keepNext w:val="1"/>
        <w:widowControl w:val="1"/>
      </w:pPr>
      <w:r>
        <w:t xml:space="preserve">% presupuesto TI dedicado a ciber por sector.  </w:t>
      </w:r>
    </w:p>
    <w:p>
      <w:pPr>
        <w:pStyle w:val="ListBullet"/>
        <w:keepLines w:val="1"/>
        <w:keepNext w:val="1"/>
        <w:widowControl w:val="1"/>
      </w:pPr>
      <w:r>
        <w:t xml:space="preserve">Dispersión: IGM vs % TI en ciber.  </w:t>
      </w:r>
    </w:p>
    <w:p>
      <w:pPr>
        <w:pStyle w:val="ListBullet"/>
        <w:keepLines w:val="1"/>
        <w:keepNext w:val="1"/>
        <w:widowControl w:val="1"/>
      </w:pPr>
      <w:r>
        <w:t>Comentario:</w:t>
      </w:r>
    </w:p>
    <w:p>
      <w:pPr>
        <w:pStyle w:val="ListBullet"/>
        <w:keepLines w:val="1"/>
        <w:keepNext w:val="1"/>
        <w:widowControl w:val="1"/>
      </w:pPr>
      <w:r>
        <w:t xml:space="preserve">Sectores que invierten mucho con baja madurez (ineficiencia potencial).  </w:t>
      </w:r>
    </w:p>
    <w:p>
      <w:pPr>
        <w:pStyle w:val="ListBullet"/>
        <w:keepLines w:val="1"/>
        <w:widowControl w:val="1"/>
      </w:pPr>
      <w:r>
        <w:t xml:space="preserve">Sectores con buena madurez relativa para su nivel de inversión.[web:34][web:41]  </w:t>
      </w:r>
    </w:p>
    <w:p>
      <w:pPr>
        <w:pStyle w:val="Heading2"/>
        <w:keepNext/>
        <w:keepLines/>
      </w:pPr>
      <w:r>
        <w:rPr>
          <w:color w:val="0066CC"/>
        </w:rPr>
        <w:t>Diapositiva 12 – Conexión con objetivos nacionales</w:t>
      </w:r>
    </w:p>
    <w:p>
      <w:pPr>
        <w:pStyle w:val="ListBullet"/>
        <w:keepLines w:val="1"/>
        <w:keepNext w:val="1"/>
        <w:widowControl w:val="1"/>
      </w:pPr>
      <w:r>
        <w:t>Mapa:</w:t>
      </w:r>
    </w:p>
    <w:p>
      <w:pPr>
        <w:pStyle w:val="ListBullet"/>
        <w:keepLines w:val="1"/>
        <w:keepNext w:val="1"/>
        <w:widowControl w:val="1"/>
      </w:pPr>
      <w:r>
        <w:t xml:space="preserve">Cómo los resultados agregados contribuyen a metas de España Digital 2026, NIS2, ENS.  </w:t>
      </w:r>
    </w:p>
    <w:p>
      <w:pPr>
        <w:pStyle w:val="ListBullet"/>
        <w:keepLines w:val="1"/>
        <w:keepNext w:val="1"/>
        <w:widowControl w:val="1"/>
      </w:pPr>
      <w:r>
        <w:t>Ejemplos:</w:t>
      </w:r>
    </w:p>
    <w:p>
      <w:pPr>
        <w:pStyle w:val="ListBullet"/>
        <w:keepLines w:val="1"/>
        <w:keepNext w:val="1"/>
        <w:widowControl w:val="1"/>
      </w:pPr>
      <w:r>
        <w:t xml:space="preserve">Mejora en pilar de capacidades.  </w:t>
      </w:r>
    </w:p>
    <w:p>
      <w:pPr>
        <w:pStyle w:val="ListBullet"/>
        <w:keepLines w:val="1"/>
        <w:widowControl w:val="1"/>
      </w:pPr>
      <w:r>
        <w:t xml:space="preserve">Necesidad de reforzar cooperación sectorial.[web:39][web:40]  </w:t>
      </w:r>
    </w:p>
    <w:p>
      <w:pPr>
        <w:pStyle w:val="Heading2"/>
        <w:keepNext/>
        <w:keepLines/>
      </w:pPr>
      <w:r>
        <w:rPr>
          <w:color w:val="0066CC"/>
        </w:rPr>
        <w:t>Diapositiva 13 – Recomendaciones estratégicas</w:t>
      </w:r>
    </w:p>
    <w:p>
      <w:pPr>
        <w:pStyle w:val="ListBullet"/>
        <w:keepLines w:val="1"/>
        <w:keepNext w:val="1"/>
        <w:widowControl w:val="1"/>
      </w:pPr>
      <w:r>
        <w:t>Por pilar GCI:</w:t>
      </w:r>
    </w:p>
    <w:p>
      <w:pPr>
        <w:pStyle w:val="ListBullet"/>
        <w:keepLines w:val="1"/>
        <w:keepNext w:val="1"/>
        <w:widowControl w:val="1"/>
      </w:pPr>
      <w:r>
        <w:t xml:space="preserve">Legal: reforzar contratos, integrar legal–ciber.  </w:t>
      </w:r>
    </w:p>
    <w:p>
      <w:pPr>
        <w:pStyle w:val="ListBullet"/>
        <w:keepLines w:val="1"/>
        <w:keepNext w:val="1"/>
        <w:widowControl w:val="1"/>
      </w:pPr>
      <w:r>
        <w:t xml:space="preserve">Técnico: mejorar detección y respuesta.  </w:t>
      </w:r>
    </w:p>
    <w:p>
      <w:pPr>
        <w:pStyle w:val="ListBullet"/>
        <w:keepLines w:val="1"/>
        <w:keepNext w:val="1"/>
        <w:widowControl w:val="1"/>
      </w:pPr>
      <w:r>
        <w:t xml:space="preserve">Organizativo: fortalecer gobernanza en consejos.  </w:t>
      </w:r>
    </w:p>
    <w:p>
      <w:pPr>
        <w:pStyle w:val="ListBullet"/>
        <w:keepLines w:val="1"/>
        <w:keepNext w:val="1"/>
        <w:widowControl w:val="1"/>
      </w:pPr>
      <w:r>
        <w:t xml:space="preserve">Capacidades: inversión en talento y formación.  </w:t>
      </w:r>
    </w:p>
    <w:p>
      <w:pPr>
        <w:pStyle w:val="ListBullet"/>
        <w:keepLines w:val="1"/>
        <w:widowControl w:val="1"/>
      </w:pPr>
      <w:r>
        <w:t xml:space="preserve">Cooperación: más foros y ejercicios conjuntos.  </w:t>
      </w:r>
    </w:p>
    <w:p>
      <w:pPr>
        <w:pStyle w:val="Heading2"/>
        <w:keepNext/>
        <w:keepLines/>
      </w:pPr>
      <w:r>
        <w:rPr>
          <w:color w:val="0066CC"/>
        </w:rPr>
        <w:t>Diapositiva 14 – Roadmap y métricas de seguimiento</w:t>
      </w:r>
    </w:p>
    <w:p>
      <w:pPr>
        <w:pStyle w:val="ListBullet"/>
        <w:keepLines w:val="1"/>
        <w:keepNext w:val="1"/>
        <w:widowControl w:val="1"/>
      </w:pPr>
      <w:r>
        <w:t>Tabla:</w:t>
      </w:r>
    </w:p>
    <w:p>
      <w:pPr>
        <w:pStyle w:val="ListBullet"/>
        <w:keepLines w:val="1"/>
        <w:keepNext w:val="1"/>
        <w:widowControl w:val="1"/>
      </w:pPr>
      <w:r>
        <w:t xml:space="preserve">0–6 meses: métricas mínimas requeridas y quick wins.  </w:t>
      </w:r>
    </w:p>
    <w:p>
      <w:pPr>
        <w:pStyle w:val="ListBullet"/>
        <w:keepLines w:val="1"/>
        <w:keepNext w:val="1"/>
        <w:widowControl w:val="1"/>
      </w:pPr>
      <w:r>
        <w:t xml:space="preserve">6–18 meses: consolidación de métricas PRAGMATIC de alto valor.  </w:t>
      </w:r>
    </w:p>
    <w:p>
      <w:pPr>
        <w:pStyle w:val="ListBullet"/>
        <w:keepLines w:val="1"/>
        <w:widowControl w:val="1"/>
      </w:pPr>
      <w:r>
        <w:t xml:space="preserve">18–36 meses: refinamiento y alineamiento con nuevas versiones de GCI y normativa.  </w:t>
      </w:r>
    </w:p>
    <w:p>
      <w:pPr>
        <w:pStyle w:val="Heading2"/>
        <w:keepNext/>
        <w:keepLines/>
      </w:pPr>
      <w:r>
        <w:rPr>
          <w:color w:val="0066CC"/>
        </w:rPr>
        <w:t>Diapositiva 15 – Próximos pasos</w:t>
      </w:r>
    </w:p>
    <w:p>
      <w:pPr>
        <w:pStyle w:val="ListBullet"/>
        <w:keepLines w:val="1"/>
        <w:keepNext w:val="1"/>
        <w:widowControl w:val="1"/>
      </w:pPr>
      <w:r>
        <w:t xml:space="preserve">Repetir encuesta periódicamente.  </w:t>
      </w:r>
    </w:p>
    <w:p>
      <w:pPr>
        <w:pStyle w:val="ListBullet"/>
        <w:keepLines w:val="1"/>
        <w:keepNext w:val="1"/>
        <w:widowControl w:val="1"/>
      </w:pPr>
      <w:r>
        <w:t xml:space="preserve">Integrar métricas clave en cuadros de mando corporativos.  </w:t>
      </w:r>
    </w:p>
    <w:p>
      <w:pPr>
        <w:pStyle w:val="ListBullet"/>
        <w:keepLines w:val="1"/>
        <w:widowControl w:val="1"/>
      </w:pPr>
      <w:r>
        <w:t xml:space="preserve">Explorar cooperación público‑privada para compartir métricas agregadas.  </w:t>
      </w:r>
    </w:p>
    <w:p>
      <w:pPr>
        <w:pStyle w:val="Heading2"/>
        <w:keepNext/>
        <w:keepLines/>
      </w:pPr>
      <w:r>
        <w:rPr>
          <w:color w:val="0066CC"/>
        </w:rPr>
        <w:t>Diapositiva 16 – Cierre</w:t>
      </w:r>
    </w:p>
    <w:p>
      <w:pPr>
        <w:pStyle w:val="ListBullet"/>
        <w:keepLines w:val="1"/>
        <w:keepNext w:val="1"/>
        <w:widowControl w:val="1"/>
      </w:pPr>
      <w:r>
        <w:t>Mensaje final:</w:t>
      </w:r>
    </w:p>
    <w:p>
      <w:pPr>
        <w:pStyle w:val="ListBullet"/>
        <w:keepLines w:val="1"/>
        <w:keepNext w:val="1"/>
        <w:widowControl w:val="1"/>
      </w:pPr>
      <w:r>
        <w:t xml:space="preserve">Medir bien no garantiza la seguridad, pero medir mal la compromete.  </w:t>
      </w:r>
    </w:p>
    <w:p>
      <w:pPr>
        <w:pStyle w:val="ListBullet"/>
        <w:keepLines w:val="1"/>
        <w:widowControl w:val="1"/>
      </w:pPr>
      <w:r>
        <w:t xml:space="preserve">GCI, GQM y PRAGMATIC juntos ayudan a que cada dato técnico cuente una historia estratégica.  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