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de Madurez en Ciberseguridad (Modelo GCI‑Empresa)</w:t>
      </w:r>
    </w:p>
    <w:p>
      <w:r>
        <w:t>Bienvenido al kit de encuesta de madurez en ciberseguridad inspirado en el Global Cybersecurity Index (GCI) de la UIT.[web:28][web:33] Este paquete está diseñado para que puedas evaluar, con cierto rigor y un poco de ironía saludable, el estado real de la ciberseguridad en organizaciones públicas y privadas.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pPr>
        <w:pStyle w:val="ListBullet"/>
        <w:keepLines w:val="1"/>
        <w:keepNext w:val="1"/>
        <w:widowControl w:val="1"/>
      </w:pPr>
      <w:r>
        <w:br/>
        <w:t>encuesta-integral.md</w:t>
        <w:br/>
        <w:t xml:space="preserve">  Modelo de cuestionario detallado para aplicar a organizaciones (CISO, CIO, responsables de riesgos, etc.).  </w:t>
        <w:br/>
      </w:r>
    </w:p>
    <w:p>
      <w:pPr>
        <w:pStyle w:val="ListBullet"/>
        <w:keepLines w:val="1"/>
        <w:keepNext w:val="1"/>
        <w:widowControl w:val="1"/>
      </w:pPr>
      <w:r>
        <w:br/>
        <w:t>guia-metodologica.md</w:t>
        <w:br/>
        <w:t xml:space="preserve">  Explica el marco conceptual, la lógica de diseño de la encuesta y cómo convertir respuestas en índices de madurez.  </w:t>
        <w:br/>
      </w:r>
    </w:p>
    <w:p>
      <w:pPr>
        <w:pStyle w:val="ListBullet"/>
        <w:keepLines w:val="1"/>
        <w:keepNext w:val="1"/>
        <w:widowControl w:val="1"/>
      </w:pPr>
      <w:r>
        <w:br/>
        <w:t>narrativa-explicativa.md</w:t>
        <w:br/>
        <w:t xml:space="preserve">  Ofrece el relato de fondo: por qué importa medir, cómo interpretar los resultados y cómo conectarlos con la estrategia.  </w:t>
        <w:br/>
      </w:r>
    </w:p>
    <w:p>
      <w:pPr>
        <w:pStyle w:val="ListBullet"/>
        <w:keepLines w:val="1"/>
        <w:keepNext w:val="1"/>
        <w:widowControl w:val="1"/>
      </w:pPr>
      <w:r>
        <w:br/>
        <w:t>mapeo-normativo.md</w:t>
        <w:br/>
        <w:t xml:space="preserve">  Tabla que vincula las preguntas de la encuesta con pilares GCI y marcos regulatorios (NIS2, ENS, RGPD, ISO, etc.).  </w:t>
        <w:br/>
      </w:r>
    </w:p>
    <w:p>
      <w:pPr>
        <w:pStyle w:val="ListBullet"/>
        <w:keepLines w:val="1"/>
        <w:keepNext w:val="1"/>
        <w:widowControl w:val="1"/>
      </w:pPr>
      <w:r>
        <w:br/>
        <w:t>plantilla-excel-igm-roi.md</w:t>
        <w:br/>
        <w:t xml:space="preserve">  Especificación para construir una hoja de cálculo que calcule el Índice Global de Madurez (IGM) y un indicador de ROI.  </w:t>
        <w:br/>
      </w:r>
    </w:p>
    <w:p>
      <w:pPr>
        <w:pStyle w:val="ListBullet"/>
        <w:keepLines w:val="1"/>
        <w:widowControl w:val="1"/>
      </w:pPr>
      <w:r>
        <w:br/>
        <w:t>plantilla-reporte-ejecutivo-ppoint.md</w:t>
        <w:br/>
        <w:t xml:space="preserve">  Guion para generar un informe ejecutivo en formato presentación (PowerPoint u otro).  </w:t>
        <w:br/>
      </w:r>
    </w:p>
    <w:p>
      <w:r>
        <w:rPr>
          <w:rFonts w:ascii="Courier New" w:hAnsi="Courier New"/>
          <w:sz w:val="18"/>
        </w:rPr>
        <w:t>encuesta-integral.md</w:t>
      </w:r>
      <w:r/>
      <w:r>
        <w:br/>
        <w:t xml:space="preserve">  Modelo de cuestionario detallado para aplicar a organizaciones (CISO, CIO, responsables de riesgos, etc.).  </w:t>
      </w:r>
    </w:p>
    <w:p>
      <w:r>
        <w:rPr>
          <w:rFonts w:ascii="Courier New" w:hAnsi="Courier New"/>
          <w:sz w:val="18"/>
        </w:rPr>
        <w:t>guia-metodologica.md</w:t>
      </w:r>
      <w:r/>
      <w:r>
        <w:br/>
        <w:t xml:space="preserve">  Explica el marco conceptual, la lógica de diseño de la encuesta y cómo convertir respuestas en índices de madurez.  </w:t>
      </w:r>
    </w:p>
    <w:p>
      <w:r>
        <w:rPr>
          <w:rFonts w:ascii="Courier New" w:hAnsi="Courier New"/>
          <w:sz w:val="18"/>
        </w:rPr>
        <w:t>narrativa-explicativa.md</w:t>
      </w:r>
      <w:r/>
      <w:r>
        <w:br/>
        <w:t xml:space="preserve">  Ofrece el relato de fondo: por qué importa medir, cómo interpretar los resultados y cómo conectarlos con la estrategia.  </w:t>
      </w:r>
    </w:p>
    <w:p>
      <w:r>
        <w:rPr>
          <w:rFonts w:ascii="Courier New" w:hAnsi="Courier New"/>
          <w:sz w:val="18"/>
        </w:rPr>
        <w:t>mapeo-normativo.md</w:t>
      </w:r>
      <w:r/>
      <w:r>
        <w:br/>
        <w:t xml:space="preserve">  Tabla que vincula las preguntas de la encuesta con pilares GCI y marcos regulatorios (NIS2, ENS, RGPD, ISO, etc.).  </w:t>
      </w:r>
    </w:p>
    <w:p>
      <w:r>
        <w:rPr>
          <w:rFonts w:ascii="Courier New" w:hAnsi="Courier New"/>
          <w:sz w:val="18"/>
        </w:rPr>
        <w:t>plantilla-excel-igm-roi.md</w:t>
      </w:r>
      <w:r/>
      <w:r>
        <w:br/>
        <w:t xml:space="preserve">  Especificación para construir una hoja de cálculo que calcule el Índice Global de Madurez (IGM) y un indicador de ROI.  </w:t>
      </w:r>
    </w:p>
    <w:p>
      <w:r>
        <w:rPr>
          <w:rFonts w:ascii="Courier New" w:hAnsi="Courier New"/>
          <w:sz w:val="18"/>
        </w:rPr>
        <w:t>plantilla-reporte-ejecutivo-ppoint.md</w:t>
      </w:r>
      <w:r/>
      <w:r>
        <w:br/>
        <w:t xml:space="preserve">  Guion para generar un informe ejecutivo en formato presentación (PowerPoint u otro).  </w:t>
      </w:r>
    </w:p>
    <w:p>
      <w:pPr>
        <w:pStyle w:val="Heading2"/>
        <w:keepNext/>
        <w:keepLines/>
      </w:pPr>
      <w:r>
        <w:rPr>
          <w:color w:val="0066CC"/>
        </w:rPr>
        <w:t>2. Cómo empezar</w:t>
      </w:r>
    </w:p>
    <w:p>
      <w:pPr>
        <w:pStyle w:val="ListNumber"/>
        <w:keepLines w:val="1"/>
        <w:keepNext w:val="1"/>
        <w:widowControl w:val="1"/>
      </w:pPr>
      <w:r>
        <w:t xml:space="preserve">Personaliza la encuesta </w:t>
      </w:r>
    </w:p>
    <w:p>
      <w:pPr>
        <w:pStyle w:val="ListNumber"/>
        <w:keepLines w:val="1"/>
        <w:keepNext w:val="1"/>
        <w:widowControl w:val="1"/>
      </w:pPr>
      <w:r>
        <w:t xml:space="preserve">Adapta el lenguaje a tu sector si es necesario.  </w:t>
      </w:r>
    </w:p>
    <w:p>
      <w:pPr>
        <w:pStyle w:val="ListNumber"/>
        <w:keepLines w:val="1"/>
        <w:keepNext w:val="1"/>
        <w:widowControl w:val="1"/>
      </w:pPr>
      <w:r>
        <w:br/>
        <w:t xml:space="preserve">Añade o elimina preguntas según la realidad regulatoria (por ejemplo, referencias específicas ENS/NIS2).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Implementa la recogida de datos </w:t>
        <w:br/>
      </w:r>
    </w:p>
    <w:p>
      <w:pPr>
        <w:pStyle w:val="ListNumber"/>
        <w:keepLines w:val="1"/>
        <w:keepNext w:val="1"/>
        <w:widowControl w:val="1"/>
      </w:pPr>
      <w:r>
        <w:t xml:space="preserve">Puedes volcar encuesta-integral.md en una herramienta de formularios online (LimeSurvey, Forms, etc.).  </w:t>
      </w:r>
    </w:p>
    <w:p>
      <w:pPr>
        <w:pStyle w:val="ListNumber"/>
        <w:keepLines w:val="1"/>
        <w:keepNext w:val="1"/>
        <w:widowControl w:val="1"/>
      </w:pPr>
      <w:r>
        <w:br/>
        <w:t xml:space="preserve">Asegúrate de recoger las respuestas de forma estructurada (ID organización, pregunta, respuesta).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Construye la plantilla Excel </w:t>
        <w:br/>
      </w:r>
    </w:p>
    <w:p>
      <w:pPr>
        <w:pStyle w:val="ListNumber"/>
        <w:keepLines w:val="1"/>
        <w:keepNext w:val="1"/>
        <w:widowControl w:val="1"/>
      </w:pPr>
      <w:r>
        <w:t xml:space="preserve">Usa plantilla-excel-igm-roi.md para definir hojas y fórmulas.  </w:t>
      </w:r>
    </w:p>
    <w:p>
      <w:pPr>
        <w:pStyle w:val="ListNumber"/>
        <w:keepLines w:val="1"/>
        <w:keepNext w:val="1"/>
        <w:widowControl w:val="1"/>
      </w:pPr>
      <w:r>
        <w:br/>
        <w:t xml:space="preserve">Valida el cálculo del IGM con algunos casos de prueba.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Analiza y cuenta la historia </w:t>
        <w:br/>
      </w:r>
    </w:p>
    <w:p>
      <w:pPr>
        <w:pStyle w:val="ListNumber"/>
        <w:keepLines w:val="1"/>
        <w:keepNext w:val="1"/>
        <w:widowControl w:val="1"/>
      </w:pPr>
      <w:r>
        <w:t xml:space="preserve">Aplica la guía metodológica para interpretar resultados.  </w:t>
      </w:r>
    </w:p>
    <w:p>
      <w:pPr>
        <w:pStyle w:val="ListNumber"/>
        <w:keepLines w:val="1"/>
        <w:widowControl w:val="1"/>
      </w:pPr>
      <w:r>
        <w:t xml:space="preserve">Utiliza la plantilla de reporte ejecutivo para comunicar los hallazgos a dirección y stakeholders.  </w:t>
      </w:r>
    </w:p>
    <w:p>
      <w:r>
        <w:t xml:space="preserve">Añade o elimina preguntas según la realidad regulatoria (por ejemplo, referencias específicas ENS/NIS2).  </w:t>
      </w:r>
    </w:p>
    <w:p>
      <w:r>
        <w:rPr>
          <w:b/>
        </w:rPr>
        <w:t>Implementa la recogida de datos</w:t>
      </w:r>
      <w:r>
        <w:t xml:space="preserve"> </w:t>
      </w:r>
    </w:p>
    <w:p>
      <w:r>
        <w:t xml:space="preserve">Asegúrate de recoger las respuestas de forma estructurada (ID organización, pregunta, respuesta).  </w:t>
      </w:r>
    </w:p>
    <w:p>
      <w:r>
        <w:rPr>
          <w:b/>
        </w:rPr>
        <w:t>Construye la plantilla Excel</w:t>
      </w:r>
      <w:r>
        <w:t xml:space="preserve"> </w:t>
      </w:r>
    </w:p>
    <w:p>
      <w:r>
        <w:t xml:space="preserve">Valida el cálculo del IGM con algunos casos de prueba.  </w:t>
      </w:r>
    </w:p>
    <w:p>
      <w:r>
        <w:rPr>
          <w:b/>
        </w:rPr>
        <w:t>Analiza y cuenta la historia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3. Principios de uso responsable</w:t>
      </w:r>
    </w:p>
    <w:p>
      <w:pPr>
        <w:pStyle w:val="ListBullet"/>
        <w:keepLines w:val="1"/>
        <w:keepNext w:val="1"/>
        <w:widowControl w:val="1"/>
      </w:pPr>
      <w:r>
        <w:br/>
        <w:t>Confidencialidad</w:t>
        <w:br/>
        <w:t xml:space="preserve">  Asegura que los datos de las organizaciones se tratan de forma confidencial y agregada.  </w:t>
        <w:br/>
      </w:r>
    </w:p>
    <w:p>
      <w:pPr>
        <w:pStyle w:val="ListBullet"/>
        <w:keepLines w:val="1"/>
        <w:keepNext w:val="1"/>
        <w:widowControl w:val="1"/>
      </w:pPr>
      <w:r>
        <w:br/>
        <w:t>No culpabilización</w:t>
        <w:br/>
        <w:t xml:space="preserve">  El objetivo es la mejora, no la caza de brujas. Los resultados deben orientar planes de acción, no alimentar acusaciones.  </w:t>
        <w:br/>
      </w:r>
    </w:p>
    <w:p>
      <w:pPr>
        <w:pStyle w:val="ListBullet"/>
        <w:keepLines w:val="1"/>
        <w:widowControl w:val="1"/>
      </w:pPr>
      <w:r>
        <w:br/>
        <w:t>Transparencia</w:t>
        <w:br/>
        <w:t xml:space="preserve">  Explica a los participantes cómo se van a usar los resultados (informes internos, sectoriales, apoyo a políticas públicas).  </w:t>
        <w:br/>
      </w:r>
    </w:p>
    <w:p>
      <w:r>
        <w:rPr>
          <w:b/>
        </w:rPr>
        <w:t>Confidencialidad</w:t>
      </w:r>
      <w:r/>
      <w:r>
        <w:br/>
        <w:t xml:space="preserve">  Asegura que los datos de las organizaciones se tratan de forma confidencial y agregada.  </w:t>
      </w:r>
    </w:p>
    <w:p>
      <w:r>
        <w:rPr>
          <w:b/>
        </w:rPr>
        <w:t>No culpabilización</w:t>
      </w:r>
      <w:r/>
      <w:r>
        <w:br/>
        <w:t xml:space="preserve">  El objetivo es la mejora, no la caza de brujas. Los resultados deben orientar planes de acción, no alimentar acusaciones.  </w:t>
      </w:r>
    </w:p>
    <w:p>
      <w:r>
        <w:rPr>
          <w:b/>
        </w:rPr>
        <w:t>Transparencia</w:t>
      </w:r>
      <w:r/>
      <w:r>
        <w:br/>
        <w:t xml:space="preserve">  Explica a los participantes cómo se van a usar los resultados (informes internos, sectoriales, apoyo a políticas públicas).  </w:t>
      </w:r>
    </w:p>
    <w:p>
      <w:pPr>
        <w:pStyle w:val="Heading2"/>
        <w:keepNext/>
        <w:keepLines/>
      </w:pPr>
      <w:r>
        <w:rPr>
          <w:color w:val="0066CC"/>
        </w:rPr>
        <w:t>4. Actualizaciones recomendadas</w:t>
      </w:r>
    </w:p>
    <w:p>
      <w:r>
        <w:t>Este kit debe revisarse periódicamente para:</w:t>
      </w:r>
    </w:p>
    <w:p>
      <w:pPr>
        <w:pStyle w:val="ListBullet"/>
        <w:keepLines w:val="1"/>
        <w:keepNext w:val="1"/>
        <w:widowControl w:val="1"/>
      </w:pPr>
      <w:r>
        <w:t xml:space="preserve">Incorporar cambios en el GCI y sus indicadores.[web:33][web:38]  </w:t>
      </w:r>
    </w:p>
    <w:p>
      <w:pPr>
        <w:pStyle w:val="ListBullet"/>
        <w:keepLines w:val="1"/>
        <w:keepNext w:val="1"/>
        <w:widowControl w:val="1"/>
      </w:pPr>
      <w:r>
        <w:t xml:space="preserve">Añadir dominios emergentes (IA, OT, cadena de suministro, resiliencia nacional).[web:40][web:41]  </w:t>
      </w:r>
    </w:p>
    <w:p>
      <w:pPr>
        <w:pStyle w:val="ListBullet"/>
        <w:keepLines w:val="1"/>
        <w:widowControl w:val="1"/>
      </w:pPr>
      <w:r>
        <w:t xml:space="preserve">Ajustar las preguntas y ponderaciones según la experiencia empírica y el feedback de los encuestados.  </w:t>
      </w:r>
    </w:p>
    <w:p>
      <w:pPr>
        <w:pStyle w:val="Heading2"/>
        <w:keepNext/>
        <w:keepLines/>
      </w:pPr>
      <w:r>
        <w:rPr>
          <w:color w:val="0066CC"/>
        </w:rPr>
        <w:t>5. Créditos conceptuales</w:t>
      </w:r>
    </w:p>
    <w:p>
      <w:r>
        <w:t>El diseño se inspira en:</w:t>
      </w:r>
    </w:p>
    <w:p>
      <w:pPr>
        <w:pStyle w:val="ListBullet"/>
        <w:keepLines w:val="1"/>
        <w:keepNext w:val="1"/>
        <w:widowControl w:val="1"/>
      </w:pPr>
      <w:r>
        <w:t xml:space="preserve">El Global Cybersecurity Index de la UIT.[web:28][web:33][web:38]  </w:t>
      </w:r>
    </w:p>
    <w:p>
      <w:pPr>
        <w:pStyle w:val="ListBullet"/>
        <w:keepLines w:val="1"/>
        <w:keepNext w:val="1"/>
        <w:widowControl w:val="1"/>
      </w:pPr>
      <w:r>
        <w:t xml:space="preserve">Herramientas de evaluación de madurez, como la de ENISA para pymes.[web:35][web:40]  </w:t>
      </w:r>
    </w:p>
    <w:p>
      <w:pPr>
        <w:pStyle w:val="ListBullet"/>
        <w:keepLines w:val="1"/>
        <w:widowControl w:val="1"/>
      </w:pPr>
      <w:r>
        <w:t xml:space="preserve">Encuestas internacionales sobre inversión y confianza digital (PwC, Deloitte y otras).[web:34][web:41]  </w:t>
      </w:r>
    </w:p>
    <w:p>
      <w:r>
        <w:t>Si este kit consigue que una sola organización pase de “apagar fuegos” a “gestionar riesgos con serenidad”, habrá cumplido sobradamente su misión.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