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keepLines/>
      </w:pPr>
      <w:r>
        <w:rPr>
          <w:color w:val="003366"/>
        </w:rPr>
        <w:t>Guía metodológica de la Encuesta TLPT / DORA / TIBER-ES</w:t>
      </w:r>
    </w:p>
    <w:p>
      <w:pPr>
        <w:pStyle w:val="Heading2"/>
        <w:keepNext/>
        <w:keepLines/>
      </w:pPr>
      <w:r>
        <w:rPr>
          <w:color w:val="0066CC"/>
        </w:rPr>
        <w:t>1. Objetivo y alcance</w:t>
      </w:r>
    </w:p>
    <w:p>
      <w:r>
        <w:t>Esta guía describe el uso de la encuesta para evaluar el grado de implantación, calidad y eficacia de las pruebas TLPT en entidades financieras y proveedores TIC relevantes bajo DORA y TIBER-ES.[web:16][web:38]</w:t>
      </w:r>
      <w:r/>
      <w:r>
        <w:br/>
        <w:t>El propósito es doble: (i) construir una visión comparativa a nivel nacional/sectorial; (ii) apoyar a cada entidad en el diseño de su propia hoja de ruta de ciberresiliencia.</w:t>
      </w:r>
    </w:p>
    <w:p>
      <w:pPr>
        <w:pStyle w:val="Heading2"/>
        <w:keepNext/>
        <w:keepLines/>
      </w:pPr>
      <w:r>
        <w:rPr>
          <w:color w:val="0066CC"/>
        </w:rPr>
        <w:t>2. Población objetivo</w:t>
      </w:r>
    </w:p>
    <w:p>
      <w:pPr>
        <w:pStyle w:val="ListBullet"/>
        <w:keepLines w:val="1"/>
        <w:keepNext w:val="1"/>
        <w:widowControl w:val="1"/>
      </w:pPr>
      <w:r>
        <w:t xml:space="preserve">Entidades sujetas a DORA con probabilidad razonable de ser designadas para TLPT (G-SII/O-SII, infraestructuras de mercado, entidades significativas).[web:31]  </w:t>
      </w:r>
    </w:p>
    <w:p>
      <w:pPr>
        <w:pStyle w:val="ListBullet"/>
        <w:keepLines w:val="1"/>
        <w:widowControl w:val="1"/>
      </w:pPr>
      <w:r>
        <w:t>Proveedores TIC críticos o importantes para dichas entidades, especialmente cuando participen en pruebas conjuntas o pooled TLPT.[web:39]</w:t>
      </w:r>
    </w:p>
    <w:p>
      <w:pPr>
        <w:pStyle w:val="Heading2"/>
        <w:keepNext/>
        <w:keepLines/>
      </w:pPr>
      <w:r>
        <w:rPr>
          <w:color w:val="0066CC"/>
        </w:rPr>
        <w:t>3. Estructura de la encuesta</w:t>
      </w:r>
    </w:p>
    <w:p>
      <w:r>
        <w:t>La encuesta se articula en 8 bloques:</w:t>
      </w:r>
    </w:p>
    <w:p>
      <w:pPr>
        <w:pStyle w:val="ListNumber"/>
        <w:keepLines w:val="1"/>
        <w:keepNext w:val="1"/>
        <w:widowControl w:val="1"/>
      </w:pPr>
      <w:r>
        <w:t xml:space="preserve">Datos generales de la organización.  </w:t>
      </w:r>
    </w:p>
    <w:p>
      <w:pPr>
        <w:pStyle w:val="ListNumber"/>
        <w:keepLines w:val="1"/>
        <w:keepNext w:val="1"/>
        <w:widowControl w:val="1"/>
      </w:pPr>
      <w:r>
        <w:t xml:space="preserve">Gobierno y alineamiento normativo.  </w:t>
      </w:r>
    </w:p>
    <w:p>
      <w:pPr>
        <w:pStyle w:val="ListNumber"/>
        <w:keepLines w:val="1"/>
        <w:keepNext w:val="1"/>
        <w:widowControl w:val="1"/>
      </w:pPr>
      <w:r>
        <w:t xml:space="preserve">Alcance, criticidad y dependencia de terceros.  </w:t>
      </w:r>
    </w:p>
    <w:p>
      <w:pPr>
        <w:pStyle w:val="ListNumber"/>
        <w:keepLines w:val="1"/>
        <w:keepNext w:val="1"/>
        <w:widowControl w:val="1"/>
      </w:pPr>
      <w:r>
        <w:t xml:space="preserve">Metodología TLPT, TTI y Red Team.  </w:t>
      </w:r>
    </w:p>
    <w:p>
      <w:pPr>
        <w:pStyle w:val="ListNumber"/>
        <w:keepLines w:val="1"/>
        <w:keepNext w:val="1"/>
        <w:widowControl w:val="1"/>
      </w:pPr>
      <w:r>
        <w:t xml:space="preserve">Detección, respuesta y continuidad.  </w:t>
      </w:r>
    </w:p>
    <w:p>
      <w:pPr>
        <w:pStyle w:val="ListNumber"/>
        <w:keepLines w:val="1"/>
        <w:keepNext w:val="1"/>
        <w:widowControl w:val="1"/>
      </w:pPr>
      <w:r>
        <w:t xml:space="preserve">Hallazgos, remediación y attestation.  </w:t>
      </w:r>
    </w:p>
    <w:p>
      <w:pPr>
        <w:pStyle w:val="ListNumber"/>
        <w:keepLines w:val="1"/>
        <w:keepNext w:val="1"/>
        <w:widowControl w:val="1"/>
      </w:pPr>
      <w:r>
        <w:t xml:space="preserve">Frecuencia, planificación y madurez cultural.  </w:t>
      </w:r>
    </w:p>
    <w:p>
      <w:pPr>
        <w:pStyle w:val="ListNumber"/>
        <w:keepLines w:val="1"/>
        <w:widowControl w:val="1"/>
      </w:pPr>
      <w:r>
        <w:t>Preguntas abiertas para contexto cualitativo.</w:t>
      </w:r>
    </w:p>
    <w:p>
      <w:r>
        <w:t>Cada bloque puede puntuarse en una escala 0–100 para obtener un Índice Global de Madurez (IGM).</w:t>
      </w:r>
    </w:p>
    <w:p>
      <w:pPr>
        <w:pStyle w:val="Heading2"/>
        <w:keepNext/>
        <w:keepLines/>
      </w:pPr>
      <w:r>
        <w:rPr>
          <w:color w:val="0066CC"/>
        </w:rPr>
        <w:t>4. Lógica de puntuación (IGM)</w:t>
      </w:r>
    </w:p>
    <w:p>
      <w:pPr>
        <w:pStyle w:val="Heading3"/>
        <w:keepNext/>
        <w:keepLines/>
      </w:pPr>
      <w:r>
        <w:t>4.1 Enfoque general</w:t>
      </w:r>
    </w:p>
    <w:p>
      <w:pPr>
        <w:pStyle w:val="ListBullet"/>
        <w:keepLines w:val="1"/>
        <w:keepNext w:val="1"/>
        <w:widowControl w:val="1"/>
      </w:pPr>
      <w:r>
        <w:t xml:space="preserve">Cada pregunta cerrada tiene opciones que se mapean a puntuaciones ordinales (p. ej., 0–3).[web:39]  </w:t>
      </w:r>
    </w:p>
    <w:p>
      <w:pPr>
        <w:pStyle w:val="ListBullet"/>
        <w:keepLines w:val="1"/>
        <w:keepNext w:val="1"/>
        <w:widowControl w:val="1"/>
      </w:pPr>
      <w:r>
        <w:t xml:space="preserve">Las preguntas se agrupan por dominio (Gobierno, Alcance, Metodología, Operaciones, Remediación, Cultura).  </w:t>
      </w:r>
    </w:p>
    <w:p>
      <w:pPr>
        <w:pStyle w:val="ListBullet"/>
        <w:keepLines w:val="1"/>
        <w:widowControl w:val="1"/>
      </w:pPr>
      <w:r>
        <w:t>El IGM se calcula como promedio ponderado de los dominios, donde las dimensiones operativas (detección, respuesta, remediación) suelen tener mayor peso que las puramente documentales.</w:t>
      </w:r>
    </w:p>
    <w:p>
      <w:pPr>
        <w:pStyle w:val="Heading3"/>
        <w:keepNext/>
        <w:keepLines/>
      </w:pPr>
      <w:r>
        <w:t>4.2 Ejemplo de asignación de puntos</w:t>
      </w:r>
    </w:p>
    <w:p>
      <w:pPr>
        <w:pStyle w:val="ListBullet"/>
        <w:keepLines w:val="1"/>
        <w:keepNext w:val="1"/>
        <w:widowControl w:val="1"/>
      </w:pPr>
      <w:r>
        <w:t>Preguntas de madurez (p. ej., existencia de política TLPT):</w:t>
      </w:r>
    </w:p>
    <w:p>
      <w:pPr>
        <w:pStyle w:val="ListBullet"/>
        <w:keepLines w:val="1"/>
        <w:keepNext w:val="1"/>
        <w:widowControl w:val="1"/>
      </w:pPr>
      <w:r>
        <w:t>Opción mínima (sin política/solo intención): 0 puntos.</w:t>
      </w:r>
    </w:p>
    <w:p>
      <w:pPr>
        <w:pStyle w:val="ListBullet"/>
        <w:keepLines w:val="1"/>
        <w:keepNext w:val="1"/>
        <w:widowControl w:val="1"/>
      </w:pPr>
      <w:r>
        <w:t>Menciona TLPT sin formalización clara: 1 punto.</w:t>
      </w:r>
    </w:p>
    <w:p>
      <w:pPr>
        <w:pStyle w:val="ListBullet"/>
        <w:keepLines w:val="1"/>
        <w:keepNext w:val="1"/>
        <w:widowControl w:val="1"/>
      </w:pPr>
      <w:r>
        <w:t>Política formal aprobada: 2 puntos.</w:t>
      </w:r>
    </w:p>
    <w:p>
      <w:pPr>
        <w:pStyle w:val="ListBullet"/>
        <w:keepLines w:val="1"/>
        <w:keepNext w:val="1"/>
        <w:widowControl w:val="1"/>
      </w:pPr>
      <w:r>
        <w:br/>
        <w:t>Política + proceso + revisión periódica: 3 puntos.</w:t>
        <w:br/>
      </w:r>
    </w:p>
    <w:p>
      <w:pPr>
        <w:pStyle w:val="ListBullet"/>
        <w:keepLines w:val="1"/>
        <w:keepNext w:val="1"/>
        <w:widowControl w:val="1"/>
      </w:pPr>
      <w:r>
        <w:br/>
        <w:t>Preguntas de cumplimiento de referencia de RTS/TIBER-ES (p. ej., duración de Red Team ≥12 semanas):</w:t>
        <w:br/>
      </w:r>
    </w:p>
    <w:p>
      <w:pPr>
        <w:pStyle w:val="ListBullet"/>
        <w:keepLines w:val="1"/>
        <w:keepNext w:val="1"/>
        <w:widowControl w:val="1"/>
      </w:pPr>
      <w:r>
        <w:t>Práctica muy por debajo de la referencia: 0 puntos.</w:t>
      </w:r>
    </w:p>
    <w:p>
      <w:pPr>
        <w:pStyle w:val="ListBullet"/>
        <w:keepLines w:val="1"/>
        <w:keepNext w:val="1"/>
        <w:widowControl w:val="1"/>
      </w:pPr>
      <w:r>
        <w:t>Parcialmente alineada: 1 punto.</w:t>
      </w:r>
    </w:p>
    <w:p>
      <w:pPr>
        <w:pStyle w:val="ListBullet"/>
        <w:keepLines w:val="1"/>
        <w:keepNext w:val="1"/>
        <w:widowControl w:val="1"/>
      </w:pPr>
      <w:r>
        <w:t>Alineada: 2 puntos.</w:t>
      </w:r>
    </w:p>
    <w:p>
      <w:pPr>
        <w:pStyle w:val="ListBullet"/>
        <w:keepLines w:val="1"/>
        <w:widowControl w:val="1"/>
      </w:pPr>
      <w:r>
        <w:t>Alineada y superando requisitos mínimos: 3 puntos.[web:16][web:34]</w:t>
      </w:r>
    </w:p>
    <w:p>
      <w:r>
        <w:t>Política + proceso + revisión periódica: 3 puntos.</w:t>
      </w:r>
    </w:p>
    <w:p>
      <w:r>
        <w:t>Preguntas de cumplimiento de referencia de RTS/TIBER-ES (p. ej., duración de Red Team ≥12 semanas):</w:t>
      </w:r>
    </w:p>
    <w:p>
      <w:r>
        <w:t>Luego se normaliza 0–3 → 0–100 por dominio y se calculan ponderaciones.</w:t>
      </w:r>
    </w:p>
    <w:p>
      <w:pPr>
        <w:pStyle w:val="Heading2"/>
        <w:keepNext/>
        <w:keepLines/>
      </w:pPr>
      <w:r>
        <w:rPr>
          <w:color w:val="0066CC"/>
        </w:rPr>
        <w:t>5. Uso analítico</w:t>
      </w:r>
    </w:p>
    <w:p>
      <w:pPr>
        <w:pStyle w:val="ListBullet"/>
        <w:keepLines w:val="1"/>
        <w:keepNext w:val="1"/>
        <w:widowControl w:val="1"/>
      </w:pPr>
      <w:r>
        <w:t xml:space="preserve">Comparar entidades entre sí (benchmarking sectorial), respetando la confidencialidad.  </w:t>
      </w:r>
    </w:p>
    <w:p>
      <w:pPr>
        <w:pStyle w:val="ListBullet"/>
        <w:keepLines w:val="1"/>
        <w:keepNext w:val="1"/>
        <w:widowControl w:val="1"/>
      </w:pPr>
      <w:r>
        <w:t xml:space="preserve">Seguir la evolución de una entidad en el tiempo (línea base vs. siguiente ciclo de TLPT).  </w:t>
      </w:r>
    </w:p>
    <w:p>
      <w:pPr>
        <w:pStyle w:val="ListBullet"/>
        <w:keepLines w:val="1"/>
        <w:widowControl w:val="1"/>
      </w:pPr>
      <w:r>
        <w:t>Correlacionar niveles de madurez (IGM) con indicadores duros de incidentes, pérdidas y sanciones.</w:t>
      </w:r>
    </w:p>
    <w:p>
      <w:pPr>
        <w:pStyle w:val="Heading2"/>
        <w:keepNext/>
        <w:keepLines/>
      </w:pPr>
      <w:r>
        <w:rPr>
          <w:color w:val="0066CC"/>
        </w:rPr>
        <w:t>6. Limitaciones y buenas prácticas</w:t>
      </w:r>
    </w:p>
    <w:p>
      <w:pPr>
        <w:pStyle w:val="ListBullet"/>
        <w:keepLines w:val="1"/>
        <w:keepNext w:val="1"/>
        <w:widowControl w:val="1"/>
      </w:pPr>
      <w:r>
        <w:t xml:space="preserve">La encuesta no sustituye al informe TLPT ni a los requisitos formales de información a supervisores.[web:16]  </w:t>
      </w:r>
    </w:p>
    <w:p>
      <w:pPr>
        <w:pStyle w:val="ListBullet"/>
        <w:keepLines w:val="1"/>
        <w:keepNext w:val="1"/>
        <w:widowControl w:val="1"/>
      </w:pPr>
      <w:r>
        <w:t xml:space="preserve">La autodeclaración tiende al optimismo; se recomienda acompañar resultados con evidencia (políticas, informes, actas de comités).  </w:t>
      </w:r>
    </w:p>
    <w:p>
      <w:pPr>
        <w:pStyle w:val="ListBullet"/>
        <w:keepLines w:val="1"/>
        <w:widowControl w:val="1"/>
      </w:pPr>
      <w:r>
        <w:t>Conviene realizar sesiones de calibración (workshops) para que todas las entidades interpreten las preguntas de forma homogénea.</w:t>
      </w:r>
    </w:p>
    <w:p>
      <w:pPr>
        <w:pStyle w:val="Heading2"/>
        <w:keepNext/>
        <w:keepLines/>
      </w:pPr>
      <w:r>
        <w:rPr>
          <w:color w:val="0066CC"/>
        </w:rPr>
        <w:t>7. Recomendaciones para la aplicación</w:t>
      </w:r>
    </w:p>
    <w:p>
      <w:pPr>
        <w:pStyle w:val="ListBullet"/>
        <w:keepLines w:val="1"/>
        <w:keepNext w:val="1"/>
        <w:widowControl w:val="1"/>
      </w:pPr>
      <w:r>
        <w:t xml:space="preserve">Aplicar la encuesta antes del TLPT para diseñar el alcance y, de nuevo, después del cierre para medir el salto de madurez.  </w:t>
      </w:r>
    </w:p>
    <w:p>
      <w:pPr>
        <w:pStyle w:val="ListBullet"/>
        <w:keepLines w:val="1"/>
        <w:keepNext w:val="1"/>
        <w:widowControl w:val="1"/>
      </w:pPr>
      <w:r>
        <w:t xml:space="preserve">Integrarla en los procesos de revisión anual de riesgos y planes de resiliencia digital (marco DORA).[web:26]  </w:t>
      </w:r>
    </w:p>
    <w:p>
      <w:pPr>
        <w:pStyle w:val="ListBullet"/>
        <w:keepLines w:val="1"/>
        <w:widowControl w:val="1"/>
      </w:pPr>
      <w:r>
        <w:t>Fomentar respuestas conjuntas CISO–riesgos–negocio para evitar visiones parciales (y peleas de pasillo posteriores).</w:t>
      </w:r>
    </w:p>
    <w:p>
      <w:pPr>
        <w:pStyle w:val="Heading2"/>
        <w:keepNext/>
        <w:keepLines/>
      </w:pPr>
      <w:r>
        <w:rPr>
          <w:color w:val="0066CC"/>
        </w:rPr>
        <w:t>8. Custodia y confidencialidad</w:t>
      </w:r>
    </w:p>
    <w:p>
      <w:pPr>
        <w:pStyle w:val="ListBullet"/>
        <w:keepLines w:val="1"/>
        <w:keepNext w:val="1"/>
        <w:widowControl w:val="1"/>
      </w:pPr>
      <w:r>
        <w:t xml:space="preserve">Los resultados deben tratarse como información sensible de ciberseguridad.  </w:t>
      </w:r>
    </w:p>
    <w:p>
      <w:pPr>
        <w:pStyle w:val="ListBullet"/>
        <w:keepLines w:val="1"/>
        <w:keepNext w:val="1"/>
        <w:widowControl w:val="1"/>
      </w:pPr>
      <w:r>
        <w:t xml:space="preserve">Cualquier uso agregado para informes públicos se realizará con anonimización y agregación adecuada.  </w:t>
      </w:r>
    </w:p>
    <w:p>
      <w:pPr>
        <w:pStyle w:val="ListBullet"/>
        <w:keepLines w:val="1"/>
        <w:widowControl w:val="1"/>
      </w:pPr>
      <w:r>
        <w:t>Si se comparte con supervisores, conviene anexar contexto y explicar decisiones de interpretación.</w:t>
      </w:r>
    </w:p>
    <w:sectPr w:rsidR="00FC693F" w:rsidRPr="0006063C" w:rsidSect="00034616">
      <w:headerReference w:type="default" r:id="rId9"/>
      <w:pgSz w:w="12240" w:h="15840"/>
      <w:pgMar w:top="216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drawing>
        <wp:inline xmlns:a="http://schemas.openxmlformats.org/drawingml/2006/main" xmlns:pic="http://schemas.openxmlformats.org/drawingml/2006/picture">
          <wp:extent cx="5943600" cy="310597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NCIBE+UL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43600" cy="310597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12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