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– Métricas TLPT</w:t>
      </w:r>
    </w:p>
    <w:p>
      <w:r>
        <w:t>Escala por criterio (0–3): 0 = muy débil, 1 = aceptable, 2 = buena, 3 = excelente.</w:t>
      </w:r>
      <w:r/>
      <w:r>
        <w:br/>
        <w:t>Valoraciones orientativas; deben recalibrarse con la experiencia de uso real.</w:t>
      </w:r>
    </w:p>
    <w:p>
      <w:pPr>
        <w:pStyle w:val="Heading2"/>
        <w:keepNext/>
        <w:keepLines/>
      </w:pPr>
      <w:r>
        <w:rPr>
          <w:color w:val="0066CC"/>
        </w:rPr>
        <w:t>1. Tabla resumen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 (Prec)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(Oport)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(Rent)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funciones críticas cubiertas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servicios TIC críticos en alcance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Uso de producción (índice 0–2)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Nº / % escenarios TTI ejercitados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Duración Red Team (semanas)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MTTD TLPT (horas)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acciones del Red Team detectadas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M8a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MTTC (contención)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M8b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MTTR (recuperación)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M9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Nº / % hallazgos críticos/altos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remediación en plazo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hallazgos recurrentes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Cumplimiento ciclo trienal TLPT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Índice plan plurianual de pruebas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Coste total TLPT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Pérdidas previstas evitadas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M16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ROI TLPT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Comentarios cualitativos por métrica</w:t>
      </w:r>
    </w:p>
    <w:p>
      <w:pPr>
        <w:pStyle w:val="Heading3"/>
        <w:keepNext/>
        <w:keepLines/>
      </w:pPr>
      <w:r>
        <w:t>M1 – % funciones críticas cubiertas</w:t>
      </w:r>
    </w:p>
    <w:p>
      <w:pPr>
        <w:pStyle w:val="ListBullet"/>
        <w:keepLines w:val="1"/>
        <w:keepNext w:val="1"/>
        <w:widowControl w:val="1"/>
      </w:pPr>
      <w:r>
        <w:t xml:space="preserve">Predictiva: buena; mayor cobertura suele anticipar menor “sorpresa” operacional en incidentes reales.  </w:t>
      </w:r>
    </w:p>
    <w:p>
      <w:pPr>
        <w:pStyle w:val="ListBullet"/>
        <w:keepLines w:val="1"/>
        <w:keepNext w:val="1"/>
        <w:widowControl w:val="1"/>
      </w:pPr>
      <w:r>
        <w:t xml:space="preserve">Relevante: muy alta; conecta directamente con DORA sobre funciones críticas y TLPT.[web:16]  </w:t>
      </w:r>
    </w:p>
    <w:p>
      <w:pPr>
        <w:pStyle w:val="ListBullet"/>
        <w:keepLines w:val="1"/>
        <w:keepNext w:val="1"/>
        <w:widowControl w:val="1"/>
      </w:pPr>
      <w:r>
        <w:t xml:space="preserve">Accionable: permite priorizar alcance en próximos ciclos.  </w:t>
      </w:r>
    </w:p>
    <w:p>
      <w:pPr>
        <w:pStyle w:val="ListBullet"/>
        <w:keepLines w:val="1"/>
        <w:keepNext w:val="1"/>
        <w:widowControl w:val="1"/>
      </w:pPr>
      <w:r>
        <w:t xml:space="preserve">Genuina: moderadamente robusta; depende de que el inventario de funciones críticas no esté “maquillado”.  </w:t>
      </w:r>
    </w:p>
    <w:p>
      <w:pPr>
        <w:pStyle w:val="ListBullet"/>
        <w:keepLines w:val="1"/>
        <w:keepNext w:val="1"/>
        <w:widowControl w:val="1"/>
      </w:pPr>
      <w:r>
        <w:t xml:space="preserve">Significativa: fácil de interpretar por comités.  </w:t>
      </w:r>
    </w:p>
    <w:p>
      <w:pPr>
        <w:pStyle w:val="ListBullet"/>
        <w:keepLines w:val="1"/>
        <w:keepNext w:val="1"/>
        <w:widowControl w:val="1"/>
      </w:pPr>
      <w:r>
        <w:t xml:space="preserve">Precisa: definición clara, siempre que el BIA esté consolidado.  </w:t>
      </w:r>
    </w:p>
    <w:p>
      <w:pPr>
        <w:pStyle w:val="ListBullet"/>
        <w:keepLines w:val="1"/>
        <w:keepNext w:val="1"/>
        <w:widowControl w:val="1"/>
      </w:pPr>
      <w:r>
        <w:t xml:space="preserve">Oportuna: se conoce en el cierre de cada TLPT.  </w:t>
      </w:r>
    </w:p>
    <w:p>
      <w:pPr>
        <w:pStyle w:val="ListBullet"/>
        <w:keepLines w:val="1"/>
        <w:keepNext w:val="1"/>
        <w:widowControl w:val="1"/>
      </w:pPr>
      <w:r>
        <w:t xml:space="preserve">Independiente: se complementa con otras métricas de alcance, pero aporta valor propio.  </w:t>
      </w:r>
    </w:p>
    <w:p>
      <w:pPr>
        <w:pStyle w:val="ListBullet"/>
        <w:keepLines w:val="1"/>
        <w:widowControl w:val="1"/>
      </w:pPr>
      <w:r>
        <w:t>Rentable: coste bajo, datos ya disponibles.</w:t>
      </w:r>
    </w:p>
    <w:p>
      <w:pPr>
        <w:pStyle w:val="Heading3"/>
        <w:keepNext/>
        <w:keepLines/>
      </w:pPr>
      <w:r>
        <w:t>M6 – MTTD TLPT (ejemplo de detalle ampliado)</w:t>
      </w:r>
    </w:p>
    <w:p>
      <w:pPr>
        <w:pStyle w:val="ListBullet"/>
        <w:keepLines w:val="1"/>
        <w:keepNext w:val="1"/>
        <w:widowControl w:val="1"/>
      </w:pPr>
      <w:r>
        <w:t xml:space="preserve">Predictiva: alta; el MTTD en ejercicios avanzados se correlaciona bien con la capacidad real de detección.  </w:t>
      </w:r>
    </w:p>
    <w:p>
      <w:pPr>
        <w:pStyle w:val="ListBullet"/>
        <w:keepLines w:val="1"/>
        <w:keepNext w:val="1"/>
        <w:widowControl w:val="1"/>
      </w:pPr>
      <w:r>
        <w:t xml:space="preserve">Relevante: clave para medir eficacia del pilar de monitorización e incidentes en DORA.[web:26]  </w:t>
      </w:r>
    </w:p>
    <w:p>
      <w:pPr>
        <w:pStyle w:val="ListBullet"/>
        <w:keepLines w:val="1"/>
        <w:keepNext w:val="1"/>
        <w:widowControl w:val="1"/>
      </w:pPr>
      <w:r>
        <w:t xml:space="preserve">Accionable: orienta mejoras en SOC, reglas de correlación, telemetría.  </w:t>
      </w:r>
    </w:p>
    <w:p>
      <w:pPr>
        <w:pStyle w:val="ListBullet"/>
        <w:keepLines w:val="1"/>
        <w:keepNext w:val="1"/>
        <w:widowControl w:val="1"/>
      </w:pPr>
      <w:r>
        <w:t xml:space="preserve">Genuina: susceptible a cierto sesgo (ayudas del White Team), pero en conjunto bastante representativa.  </w:t>
      </w:r>
    </w:p>
    <w:p>
      <w:pPr>
        <w:pStyle w:val="ListBullet"/>
        <w:keepLines w:val="1"/>
        <w:keepNext w:val="1"/>
        <w:widowControl w:val="1"/>
      </w:pPr>
      <w:r>
        <w:t xml:space="preserve">Significativa: intuitiva (menos horas = mejor), entendible a nivel ejecutivo.  </w:t>
      </w:r>
    </w:p>
    <w:p>
      <w:pPr>
        <w:pStyle w:val="ListBullet"/>
        <w:keepLines w:val="1"/>
        <w:keepNext w:val="1"/>
        <w:widowControl w:val="1"/>
      </w:pPr>
      <w:r>
        <w:t xml:space="preserve">Precisa: requiere definición rigurosa de “evento de detección válida”.  </w:t>
      </w:r>
    </w:p>
    <w:p>
      <w:pPr>
        <w:pStyle w:val="ListBullet"/>
        <w:keepLines w:val="1"/>
        <w:keepNext w:val="1"/>
        <w:widowControl w:val="1"/>
      </w:pPr>
      <w:r>
        <w:t xml:space="preserve">Oportuna: se obtiene al cierre del ejercicio y puede compararse entre ciclos.  </w:t>
      </w:r>
    </w:p>
    <w:p>
      <w:pPr>
        <w:pStyle w:val="ListBullet"/>
        <w:keepLines w:val="1"/>
        <w:keepNext w:val="1"/>
        <w:widowControl w:val="1"/>
      </w:pPr>
      <w:r>
        <w:t xml:space="preserve">Independiente: correlacionada con M7/M8, pero con foco diferente.  </w:t>
      </w:r>
    </w:p>
    <w:p>
      <w:pPr>
        <w:pStyle w:val="ListBullet"/>
        <w:keepLines w:val="1"/>
        <w:widowControl w:val="1"/>
      </w:pPr>
      <w:r>
        <w:t>Rentable: requiere cierta disciplina de registro, pero se apoya en datos ya capturados durante el TLPT.</w:t>
      </w:r>
    </w:p>
    <w:p>
      <w:r>
        <w:rPr>
          <w:i/>
        </w:rPr>
        <w:t>(El resto de métricas pueden documentarse de forma similar en versiones extendidas del kit.)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