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TLPT / DORA / TIBER-ES</w:t>
      </w:r>
    </w:p>
    <w:p>
      <w:pPr>
        <w:pStyle w:val="Heading2"/>
        <w:keepNext/>
        <w:keepLines/>
      </w:pPr>
      <w:r>
        <w:rPr>
          <w:color w:val="0066CC"/>
        </w:rPr>
        <w:t>Contenido del kit</w:t>
      </w:r>
    </w:p>
    <w:p>
      <w:r>
        <w:t>El kit incluye los siguientes componentes (en formato Markdown y listos para adaptar):</w:t>
      </w:r>
    </w:p>
    <w:p>
      <w:pPr>
        <w:pStyle w:val="ListNumber"/>
        <w:keepLines w:val="1"/>
        <w:keepNext w:val="1"/>
        <w:widowControl w:val="1"/>
      </w:pPr>
      <w:r>
        <w:t xml:space="preserve">01-encuesta-TLPT.md: Modelo de encuesta integral para responsables de seguridad, riesgos y negocio.  </w:t>
      </w:r>
    </w:p>
    <w:p>
      <w:pPr>
        <w:pStyle w:val="ListNumber"/>
        <w:keepLines w:val="1"/>
        <w:keepNext w:val="1"/>
        <w:widowControl w:val="1"/>
      </w:pPr>
      <w:r>
        <w:t xml:space="preserve">02-guia-metodologica-TLPT-encuesta.md: Guía para interpretar y puntuar la encuesta (IGM).  </w:t>
      </w:r>
    </w:p>
    <w:p>
      <w:pPr>
        <w:pStyle w:val="ListNumber"/>
        <w:keepLines w:val="1"/>
        <w:keepNext w:val="1"/>
        <w:widowControl w:val="1"/>
      </w:pPr>
      <w:r>
        <w:t xml:space="preserve">03-narrativa-explicativa-TLPT-encuesta.md: Narrativa que contextualiza el uso de la encuesta.  </w:t>
      </w:r>
    </w:p>
    <w:p>
      <w:pPr>
        <w:pStyle w:val="ListNumber"/>
        <w:keepLines w:val="1"/>
        <w:keepNext w:val="1"/>
        <w:widowControl w:val="1"/>
      </w:pPr>
      <w:r>
        <w:t xml:space="preserve">04-mapeo-preguntas-normativa-TLPT.md: Tabla que vincula preguntas con DORA, RTS TLPT y TIBER-ES.[web:16][web:38]  </w:t>
      </w:r>
    </w:p>
    <w:p>
      <w:pPr>
        <w:pStyle w:val="ListNumber"/>
        <w:keepLines w:val="1"/>
        <w:keepNext w:val="1"/>
        <w:widowControl w:val="1"/>
      </w:pPr>
      <w:r>
        <w:t xml:space="preserve">05-plantilla-excel-IGM-ROI-TLPT.md: Instrucciones para construir una plantilla Excel de cálculo de IGM y ROI.  </w:t>
      </w:r>
    </w:p>
    <w:p>
      <w:pPr>
        <w:pStyle w:val="ListNumber"/>
        <w:keepLines w:val="1"/>
        <w:keepNext w:val="1"/>
        <w:widowControl w:val="1"/>
      </w:pPr>
      <w:r>
        <w:t xml:space="preserve">06-plantilla-reporte-ejecutivo-TLPT-PPT.md: Esqueleto de reporte ejecutivo para comités.  </w:t>
      </w:r>
    </w:p>
    <w:p>
      <w:pPr>
        <w:pStyle w:val="ListNumber"/>
        <w:keepLines w:val="1"/>
        <w:widowControl w:val="1"/>
      </w:pPr>
      <w:r>
        <w:t>07-README-kit-encuesta-TLPT.md: Este documento de orientación.</w:t>
      </w:r>
    </w:p>
    <w:p>
      <w:pPr>
        <w:pStyle w:val="Heading2"/>
        <w:keepNext/>
        <w:keepLines/>
      </w:pPr>
      <w:r>
        <w:rPr>
          <w:color w:val="0066CC"/>
        </w:rPr>
        <w:t>Uso recomendado</w:t>
      </w:r>
    </w:p>
    <w:p>
      <w:pPr>
        <w:pStyle w:val="ListNumber"/>
        <w:keepLines w:val="1"/>
        <w:keepNext w:val="1"/>
        <w:widowControl w:val="1"/>
      </w:pPr>
      <w:r>
        <w:t xml:space="preserve">Adaptar la encuesta a la realidad de la entidad (terminología, ámbitos específicos).  </w:t>
      </w:r>
    </w:p>
    <w:p>
      <w:pPr>
        <w:pStyle w:val="ListNumber"/>
        <w:keepLines w:val="1"/>
        <w:keepNext w:val="1"/>
        <w:widowControl w:val="1"/>
      </w:pPr>
      <w:r>
        <w:t xml:space="preserve">Definir el método de recogida (formularios online, entrevistas guiadas, talleres).  </w:t>
      </w:r>
    </w:p>
    <w:p>
      <w:pPr>
        <w:pStyle w:val="ListNumber"/>
        <w:keepLines w:val="1"/>
        <w:keepNext w:val="1"/>
        <w:widowControl w:val="1"/>
      </w:pPr>
      <w:r>
        <w:t xml:space="preserve">Poner en marcha la plantilla Excel para poder calcular IGM y ROI con datos reales.  </w:t>
      </w:r>
    </w:p>
    <w:p>
      <w:pPr>
        <w:pStyle w:val="ListNumber"/>
        <w:keepLines w:val="1"/>
        <w:widowControl w:val="1"/>
      </w:pPr>
      <w:r>
        <w:t>Utilizar el reporte ejecutivo para presentar resultados en órganos de gobierno y ante supervisores.</w:t>
      </w:r>
    </w:p>
    <w:p>
      <w:pPr>
        <w:pStyle w:val="Heading2"/>
        <w:keepNext/>
        <w:keepLines/>
      </w:pPr>
      <w:r>
        <w:rPr>
          <w:color w:val="0066CC"/>
        </w:rPr>
        <w:t>Requisitos normativos cubiertos</w:t>
      </w:r>
    </w:p>
    <w:p>
      <w:r>
        <w:t>El kit está alineado con:</w:t>
      </w:r>
    </w:p>
    <w:p>
      <w:pPr>
        <w:pStyle w:val="ListBullet"/>
        <w:keepLines w:val="1"/>
        <w:keepNext w:val="1"/>
        <w:widowControl w:val="1"/>
      </w:pPr>
      <w:r>
        <w:t xml:space="preserve">DORA (Reglamento (UE) 2022/2554) en sus pilares de gestión de riesgos TIC, pruebas de resiliencia, gestión de terceros TIC e incidentes.[web:26]  </w:t>
      </w:r>
    </w:p>
    <w:p>
      <w:pPr>
        <w:pStyle w:val="ListBullet"/>
        <w:keepLines w:val="1"/>
        <w:keepNext w:val="1"/>
        <w:widowControl w:val="1"/>
      </w:pPr>
      <w:r>
        <w:t xml:space="preserve">RTS conjuntos de las ESAs sobre TLPT (JC 2024-29), que concretan criterios de selección de entidades, enfoque metodológico y requerimientos de attestation.[web:16][web:31]  </w:t>
      </w:r>
    </w:p>
    <w:p>
      <w:pPr>
        <w:pStyle w:val="ListBullet"/>
        <w:keepLines w:val="1"/>
        <w:widowControl w:val="1"/>
      </w:pPr>
      <w:r>
        <w:t xml:space="preserve">Marco TIBER-EU y su implementación española TIBER-ES, que definen las fases TTI, Red Team y cierre a nivel operativo.[web:38]  </w:t>
      </w:r>
    </w:p>
    <w:p>
      <w:pPr>
        <w:pStyle w:val="Heading2"/>
        <w:keepNext/>
        <w:keepLines/>
      </w:pPr>
      <w:r>
        <w:rPr>
          <w:color w:val="0066CC"/>
        </w:rPr>
        <w:t>Licencia y personalización</w:t>
      </w:r>
    </w:p>
    <w:p>
      <w:pPr>
        <w:pStyle w:val="ListBullet"/>
        <w:keepLines w:val="1"/>
        <w:keepNext w:val="1"/>
        <w:widowControl w:val="1"/>
      </w:pPr>
      <w:r>
        <w:t xml:space="preserve">El kit se ofrece como base para su adaptación por entidades, asociaciones sectoriales y supervisores.  </w:t>
      </w:r>
    </w:p>
    <w:p>
      <w:pPr>
        <w:pStyle w:val="ListBullet"/>
        <w:keepLines w:val="1"/>
        <w:keepNext w:val="1"/>
        <w:widowControl w:val="1"/>
      </w:pPr>
      <w:r>
        <w:t xml:space="preserve">Se anima a enriquecerlo con métricas internas adicionales, siempre que se mantenga la trazabilidad normativa.  </w:t>
      </w:r>
    </w:p>
    <w:p>
      <w:pPr>
        <w:pStyle w:val="ListBullet"/>
        <w:keepLines w:val="1"/>
        <w:widowControl w:val="1"/>
      </w:pPr>
      <w:r>
        <w:t>La ironía utilizada en las opciones de respuesta puede modularse si se requiere una versión “para público muy serio”.</w:t>
      </w:r>
    </w:p>
    <w:p>
      <w:pPr>
        <w:pStyle w:val="Heading2"/>
        <w:keepNext/>
        <w:keepLines/>
      </w:pPr>
      <w:r>
        <w:rPr>
          <w:color w:val="0066CC"/>
        </w:rPr>
        <w:t>Contacto y mejoras</w:t>
      </w:r>
    </w:p>
    <w:p>
      <w:pPr>
        <w:pStyle w:val="ListBullet"/>
        <w:keepLines w:val="1"/>
        <w:keepNext w:val="1"/>
        <w:widowControl w:val="1"/>
      </w:pPr>
      <w:r>
        <w:t xml:space="preserve">Se recomienda mantener un registro de cambios internos de la organización al adaptar el kit.  </w:t>
      </w:r>
    </w:p>
    <w:p>
      <w:pPr>
        <w:pStyle w:val="ListBullet"/>
        <w:keepLines w:val="1"/>
        <w:widowControl w:val="1"/>
      </w:pPr>
      <w:r>
        <w:t>Cualquier mejora basada en lecciones aprendidas de TLPT reales debería integrarse en futuras versiones del cuestionario y de las plantillas de análisis.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