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🧭 MARCO INTEGRATIVO GQM + PRAGMATIC PARA INDICADORES MSS</w:t>
      </w:r>
    </w:p>
    <w:p>
      <w:pPr>
        <w:pStyle w:val="Heading2"/>
        <w:keepNext/>
        <w:keepLines/>
      </w:pPr>
      <w:r>
        <w:rPr>
          <w:color w:val="0066CC"/>
        </w:rPr>
        <w:t>Desde los Objetivos Nacionales hasta las Métricas Técnicas</w:t>
      </w:r>
    </w:p>
    <w:p>
      <w:pPr>
        <w:pStyle w:val="Heading4"/>
        <w:keepNext/>
        <w:keepLines/>
      </w:pPr>
      <w:r>
        <w:t>Versión 1.0 — Abril 2026</w:t>
      </w:r>
    </w:p>
    <w:p>
      <w:r>
        <w:rPr>
          <w:i/>
        </w:rPr>
        <w:t>"La métrica sin propósito es numerología. El propósito sin métrica es retórica. GQM es el puente; PRAGMATIC, el filtro."</w:t>
      </w:r>
    </w:p>
    <w:p>
      <w:pPr>
        <w:pStyle w:val="Heading2"/>
        <w:keepNext/>
        <w:keepLines/>
      </w:pPr>
      <w:r>
        <w:rPr>
          <w:color w:val="0066CC"/>
        </w:rPr>
        <w:t>1. FUNDAMENTO DEL MARCO: GQM Y PRAGMATIC AL SERVICIO DE LOS MSS</w:t>
      </w:r>
    </w:p>
    <w:p>
      <w:pPr>
        <w:pStyle w:val="Heading3"/>
        <w:keepNext/>
        <w:keepLines/>
      </w:pPr>
      <w:r>
        <w:t>1.1. Goal–Question–Metric (GQM)</w:t>
      </w:r>
    </w:p>
    <w:p>
      <w:r>
        <w:t xml:space="preserve">El método </w:t>
      </w:r>
      <w:r>
        <w:rPr>
          <w:b/>
        </w:rPr>
        <w:t>GQM (Goal–Question–Metric)</w:t>
      </w:r>
      <w:r>
        <w:t>, propuesto inicialmente por Basili y Weiss y ampliamente utilizado en ingeniería del software, define un modelo de medida en tres niveles jerárquicos[cite:129][cite:138][cite:141]:</w:t>
      </w:r>
    </w:p>
    <w:p>
      <w:pPr>
        <w:pStyle w:val="ListNumber"/>
        <w:keepLines w:val="1"/>
        <w:keepNext w:val="1"/>
        <w:widowControl w:val="1"/>
      </w:pPr>
      <w:r>
        <w:t>Nivel conceptual (Goal – Objetivo):</w:t>
      </w:r>
    </w:p>
    <w:p>
      <w:pPr>
        <w:pStyle w:val="ListNumber"/>
        <w:keepLines w:val="1"/>
        <w:keepNext w:val="1"/>
        <w:widowControl w:val="1"/>
      </w:pPr>
      <w:r>
        <w:t>Formulación explícita de un objetivo de medición, aplicado a un objeto (producto, proceso, servicio), con una motivación y un punto de vista determinados, en un contexto específico.</w:t>
      </w:r>
    </w:p>
    <w:p>
      <w:pPr>
        <w:pStyle w:val="ListNumber"/>
        <w:keepLines w:val="1"/>
        <w:keepNext w:val="1"/>
        <w:widowControl w:val="1"/>
      </w:pPr>
      <w:r>
        <w:t>Nivel operativo (Question – Pregunta):</w:t>
      </w:r>
    </w:p>
    <w:p>
      <w:pPr>
        <w:pStyle w:val="ListNumber"/>
        <w:keepLines w:val="1"/>
        <w:keepNext w:val="1"/>
        <w:widowControl w:val="1"/>
      </w:pPr>
      <w:r>
        <w:t>Conjunto de preguntas que caracterizan el grado de consecución del objetivo y que ayudan a entender el objeto desde diferentes perspectivas.</w:t>
      </w:r>
    </w:p>
    <w:p>
      <w:pPr>
        <w:pStyle w:val="ListNumber"/>
        <w:keepLines w:val="1"/>
        <w:keepNext w:val="1"/>
        <w:widowControl w:val="1"/>
      </w:pPr>
      <w:r>
        <w:t>Nivel cuantitativo (Metric – Métrica):</w:t>
      </w:r>
    </w:p>
    <w:p>
      <w:pPr>
        <w:pStyle w:val="ListNumber"/>
        <w:keepLines w:val="1"/>
        <w:widowControl w:val="1"/>
      </w:pPr>
      <w:r>
        <w:t>Conjunto de métricas asociadas a cada pregunta, que permiten responderla de forma cuantificable.</w:t>
      </w:r>
    </w:p>
    <w:p>
      <w:r>
        <w:t>En ciberseguridad, GQM se ha adoptado para alinear métricas técnicas con objetivos de negocio y de riesgo, evitando el síndrome de "dashboard ornamental" en el que se miden hechos curiosos pero irrelevantes[cite:134].</w:t>
      </w:r>
    </w:p>
    <w:p>
      <w:pPr>
        <w:pStyle w:val="Heading3"/>
        <w:keepNext/>
        <w:keepLines/>
      </w:pPr>
      <w:r>
        <w:t>1.2. El Metamarco PRAGMATIC</w:t>
      </w:r>
    </w:p>
    <w:p>
      <w:r>
        <w:t xml:space="preserve">El enfoque </w:t>
      </w:r>
      <w:r>
        <w:rPr>
          <w:b/>
        </w:rPr>
        <w:t>PRAGMATIC Security Metrics</w:t>
      </w:r>
      <w:r>
        <w:t>, propuesto por Brotby e Hinson, introduce un metamarco para evaluar la calidad de las métricas de seguridad, utilizando nueve criterios representados por el acrónimo PRAGMATIC[cite:130][cite:131][cite:136][cite:139]:</w:t>
      </w:r>
    </w:p>
    <w:p>
      <w:pPr>
        <w:pStyle w:val="ListBullet"/>
        <w:keepLines w:val="1"/>
        <w:keepNext w:val="1"/>
        <w:widowControl w:val="1"/>
      </w:pPr>
      <w:r>
        <w:t>P — Predictive (Predictivo): Indica algo útil sobre el futuro antes de que ocurra.</w:t>
      </w:r>
    </w:p>
    <w:p>
      <w:pPr>
        <w:pStyle w:val="ListBullet"/>
        <w:keepLines w:val="1"/>
        <w:keepNext w:val="1"/>
        <w:widowControl w:val="1"/>
      </w:pPr>
      <w:r>
        <w:t>R — Relevant (Relevante): Relacionado con las decisiones y objetivos del público destinatario.</w:t>
      </w:r>
    </w:p>
    <w:p>
      <w:pPr>
        <w:pStyle w:val="ListBullet"/>
        <w:keepLines w:val="1"/>
        <w:keepNext w:val="1"/>
        <w:widowControl w:val="1"/>
      </w:pPr>
      <w:r>
        <w:t>A — Actionable (Accionable): Sugiere claramente qué acciones emprender.</w:t>
      </w:r>
    </w:p>
    <w:p>
      <w:pPr>
        <w:pStyle w:val="ListBullet"/>
        <w:keepLines w:val="1"/>
        <w:keepNext w:val="1"/>
        <w:widowControl w:val="1"/>
      </w:pPr>
      <w:r>
        <w:t>G — Genuine (Genuino): Basado en datos fiables, sin manipulación interesada.</w:t>
      </w:r>
    </w:p>
    <w:p>
      <w:pPr>
        <w:pStyle w:val="ListBullet"/>
        <w:keepLines w:val="1"/>
        <w:keepNext w:val="1"/>
        <w:widowControl w:val="1"/>
      </w:pPr>
      <w:r>
        <w:t>M — Meaningful (Significativo): Fácil de entender e interpretar correctamente.</w:t>
      </w:r>
    </w:p>
    <w:p>
      <w:pPr>
        <w:pStyle w:val="ListBullet"/>
        <w:keepLines w:val="1"/>
        <w:keepNext w:val="1"/>
        <w:widowControl w:val="1"/>
      </w:pPr>
      <w:r>
        <w:t>A — Accurate (Preciso): Suficientemente exacto para la decisión que soporta.</w:t>
      </w:r>
    </w:p>
    <w:p>
      <w:pPr>
        <w:pStyle w:val="ListBullet"/>
        <w:keepLines w:val="1"/>
        <w:keepNext w:val="1"/>
        <w:widowControl w:val="1"/>
      </w:pPr>
      <w:r>
        <w:t>T — Timely (Oportuno): Disponible dentro de la ventana temporal de decisión.</w:t>
      </w:r>
    </w:p>
    <w:p>
      <w:pPr>
        <w:pStyle w:val="ListBullet"/>
        <w:keepLines w:val="1"/>
        <w:keepNext w:val="1"/>
        <w:widowControl w:val="1"/>
      </w:pPr>
      <w:r>
        <w:t>I — Independent (Independiente): No distorsionado por incentivos o conflictos.</w:t>
      </w:r>
    </w:p>
    <w:p>
      <w:pPr>
        <w:pStyle w:val="ListBullet"/>
        <w:keepLines w:val="1"/>
        <w:widowControl w:val="1"/>
      </w:pPr>
      <w:r>
        <w:t>C — Cheap (Rentable/Barato): Coste de obtención y mantenimiento razonable.</w:t>
      </w:r>
    </w:p>
    <w:p>
      <w:r>
        <w:t>Cada métrica candidata se puntúa habitualmente de 0 a 10 en cada criterio, obteniendo un "metapuntuación" PRAGMATIC que permite comparar y seleccionar aquellas métricas que realmente merecen un lugar en el cuadro de mando[cite:130][cite:136].</w:t>
      </w:r>
    </w:p>
    <w:p>
      <w:pPr>
        <w:pStyle w:val="Heading2"/>
        <w:keepNext/>
        <w:keepLines/>
      </w:pPr>
      <w:r>
        <w:rPr>
          <w:color w:val="0066CC"/>
        </w:rPr>
        <w:t>2. OBJETIVOS NACIONALES Y ESTRATÉGICOS (GOALS NIVEL 0)</w:t>
      </w:r>
    </w:p>
    <w:p>
      <w:r>
        <w:t>Los objetivos de alto nivel que motivan el diseño de indicadores MSS en el contexto español y europeo se derivan de:</w:t>
      </w:r>
    </w:p>
    <w:p>
      <w:pPr>
        <w:pStyle w:val="ListBullet"/>
        <w:keepLines w:val="1"/>
        <w:keepNext w:val="1"/>
        <w:widowControl w:val="1"/>
      </w:pPr>
      <w:r>
        <w:t>Directiva NIS2 (UE 2022/2555): Garantizar un elevado nivel común de ciberseguridad, mediante gestión de riesgos, notificación de incidentes y seguridad de la cadena de suministro.</w:t>
      </w:r>
    </w:p>
    <w:p>
      <w:pPr>
        <w:pStyle w:val="ListBullet"/>
        <w:keepLines w:val="1"/>
        <w:keepNext w:val="1"/>
        <w:widowControl w:val="1"/>
      </w:pPr>
      <w:r>
        <w:t>ENS (RD 311/2022): Asegurar la protección adecuada de la información y los servicios en el sector público y sus proveedores.</w:t>
      </w:r>
    </w:p>
    <w:p>
      <w:pPr>
        <w:pStyle w:val="ListBullet"/>
        <w:keepLines w:val="1"/>
        <w:keepNext w:val="1"/>
        <w:widowControl w:val="1"/>
      </w:pPr>
      <w:r>
        <w:t>DORA (UE 2022/2554): Asegurar la resiliencia operativa digital del sector financiero frente a incidentes TIC.</w:t>
      </w:r>
    </w:p>
    <w:p>
      <w:pPr>
        <w:pStyle w:val="ListBullet"/>
        <w:keepLines w:val="1"/>
        <w:keepNext w:val="1"/>
        <w:widowControl w:val="1"/>
      </w:pPr>
      <w:r>
        <w:t>Plan Nacional de Ciberseguridad y plan de inversión de 1.157 M€ (2025): Reforzar las capacidades nacionales de prevención, detección, respuesta y recuperación ante ciberamenazas.</w:t>
      </w:r>
    </w:p>
    <w:p>
      <w:pPr>
        <w:pStyle w:val="ListBullet"/>
        <w:keepLines w:val="1"/>
        <w:widowControl w:val="1"/>
      </w:pPr>
      <w:r>
        <w:t>**Estrategias sectoriales (SNS, energía, transporte, etc.).</w:t>
      </w:r>
    </w:p>
    <w:p>
      <w:r>
        <w:t xml:space="preserve">A partir de estos marcos, se definen cinco </w:t>
      </w:r>
      <w:r>
        <w:rPr>
          <w:b/>
        </w:rPr>
        <w:t>Objetivos Estratégicos G0.x</w:t>
      </w:r>
      <w:r>
        <w:t xml:space="preserve"> que articulan el marco GQM:</w:t>
      </w:r>
    </w:p>
    <w:p>
      <w:pPr>
        <w:pStyle w:val="ListBullet"/>
        <w:keepLines w:val="1"/>
        <w:keepNext w:val="1"/>
        <w:widowControl w:val="1"/>
      </w:pPr>
      <w:r>
        <w:t>G0.1 — Gobernanza y alineación estratégica:</w:t>
      </w:r>
    </w:p>
    <w:p>
      <w:pPr>
        <w:pStyle w:val="ListBullet"/>
        <w:keepLines w:val="1"/>
        <w:keepNext w:val="1"/>
        <w:widowControl w:val="1"/>
      </w:pPr>
      <w:r>
        <w:t>Lograr una gobernanza de ciberseguridad que integre la toma de decisiones de la Alta Dirección, cumpla NIS2/ENS/DORA y asigne recursos proporcionales al riesgo.</w:t>
      </w:r>
    </w:p>
    <w:p>
      <w:pPr>
        <w:pStyle w:val="ListBullet"/>
        <w:keepLines w:val="1"/>
        <w:keepNext w:val="1"/>
        <w:widowControl w:val="1"/>
      </w:pPr>
      <w:r>
        <w:t>G0.2 — Detección y respuesta eficaces:</w:t>
      </w:r>
    </w:p>
    <w:p>
      <w:pPr>
        <w:pStyle w:val="ListBullet"/>
        <w:keepLines w:val="1"/>
        <w:keepNext w:val="1"/>
        <w:widowControl w:val="1"/>
      </w:pPr>
      <w:r>
        <w:t>Reducir drásticamente el tiempo de detección, contención y recuperación de incidentes en comparación con la velocidad de los atacantes y los plazos regulatorios.</w:t>
      </w:r>
    </w:p>
    <w:p>
      <w:pPr>
        <w:pStyle w:val="ListBullet"/>
        <w:keepLines w:val="1"/>
        <w:keepNext w:val="1"/>
        <w:widowControl w:val="1"/>
      </w:pPr>
      <w:r>
        <w:t>G0.3 — Cumplimiento regulatorio demostrable:</w:t>
      </w:r>
    </w:p>
    <w:p>
      <w:pPr>
        <w:pStyle w:val="ListBullet"/>
        <w:keepLines w:val="1"/>
        <w:keepNext w:val="1"/>
        <w:widowControl w:val="1"/>
      </w:pPr>
      <w:r>
        <w:t>Demostrar de forma objetiva y trazable el cumplimiento con NIS2, ENS, DORA, ISO 27001 y otros marcos relevantes.</w:t>
      </w:r>
    </w:p>
    <w:p>
      <w:pPr>
        <w:pStyle w:val="ListBullet"/>
        <w:keepLines w:val="1"/>
        <w:keepNext w:val="1"/>
        <w:widowControl w:val="1"/>
      </w:pPr>
      <w:r>
        <w:t>G0.4 — Resiliencia operativa y continuidad:</w:t>
      </w:r>
    </w:p>
    <w:p>
      <w:pPr>
        <w:pStyle w:val="ListBullet"/>
        <w:keepLines w:val="1"/>
        <w:keepNext w:val="1"/>
        <w:widowControl w:val="1"/>
      </w:pPr>
      <w:r>
        <w:t>Garantizar la continuidad de los servicios críticos ante incidentes severos, minimizando el impacto en ciudadanos, clientes y economía.</w:t>
      </w:r>
    </w:p>
    <w:p>
      <w:pPr>
        <w:pStyle w:val="ListBullet"/>
        <w:keepLines w:val="1"/>
        <w:keepNext w:val="1"/>
        <w:widowControl w:val="1"/>
      </w:pPr>
      <w:r>
        <w:t>G0.5 — Innovación segura y preparación para amenazas emergentes:</w:t>
      </w:r>
    </w:p>
    <w:p>
      <w:pPr>
        <w:pStyle w:val="ListBullet"/>
        <w:keepLines w:val="1"/>
        <w:widowControl w:val="1"/>
      </w:pPr>
      <w:r>
        <w:t>Asegurar que la adopción de IA, cloud, OT/ICS y criptografía postcuántica se realiza con métricas que capturen los nuevos riesgos asociados.</w:t>
      </w:r>
    </w:p>
    <w:p>
      <w:pPr>
        <w:pStyle w:val="Heading2"/>
        <w:keepNext/>
        <w:keepLines/>
      </w:pPr>
      <w:r>
        <w:rPr>
          <w:color w:val="0066CC"/>
        </w:rPr>
        <w:t>3. DESPLIEGUE GQM POR PILARES E INDICADORES CLAVE MSS</w:t>
      </w:r>
    </w:p>
    <w:p>
      <w:r>
        <w:t>A continuación se presenta el despliegue GQM para los indicadores clave de MSS identificados en el informe "MSS". Para cada indicador se define:</w:t>
      </w:r>
    </w:p>
    <w:p>
      <w:pPr>
        <w:pStyle w:val="ListBullet"/>
        <w:keepLines w:val="1"/>
        <w:keepNext w:val="1"/>
        <w:widowControl w:val="1"/>
      </w:pPr>
      <w:r>
        <w:t>Goal (G): Objetivo específico asociado al indicador.</w:t>
      </w:r>
    </w:p>
    <w:p>
      <w:pPr>
        <w:pStyle w:val="ListBullet"/>
        <w:keepLines w:val="1"/>
        <w:keepNext w:val="1"/>
        <w:widowControl w:val="1"/>
      </w:pPr>
      <w:r>
        <w:t>Questions (Q): Preguntas que concretan si el objetivo se cumple.</w:t>
      </w:r>
    </w:p>
    <w:p>
      <w:pPr>
        <w:pStyle w:val="ListBullet"/>
        <w:keepLines w:val="1"/>
        <w:widowControl w:val="1"/>
      </w:pPr>
      <w:r>
        <w:t>Metric (M): Métrica concreta (o conjunto de métricas) que responde a las preguntas.</w:t>
      </w:r>
    </w:p>
    <w:p>
      <w:pPr>
        <w:pStyle w:val="Heading3"/>
        <w:keepNext/>
        <w:keepLines/>
      </w:pPr>
      <w:r>
        <w:t>3.1. Pilar Detección y Respuesta — MTTD, MTTC, MTTR, FPR</w:t>
      </w:r>
    </w:p>
    <w:p>
      <w:pPr>
        <w:pStyle w:val="Heading4"/>
        <w:keepNext/>
        <w:keepLines/>
      </w:pPr>
      <w:r>
        <w:t>3.1.1. MTTD — Mean Time to Detect</w:t>
      </w:r>
    </w:p>
    <w:p>
      <w:pPr>
        <w:pStyle w:val="ListBullet"/>
        <w:keepLines w:val="1"/>
        <w:keepNext w:val="1"/>
        <w:widowControl w:val="1"/>
      </w:pPr>
      <w:r>
        <w:t>G-DR1 (Objetivo):</w:t>
      </w:r>
    </w:p>
    <w:p>
      <w:pPr>
        <w:pStyle w:val="ListBullet"/>
        <w:keepLines w:val="1"/>
        <w:keepNext w:val="1"/>
        <w:widowControl w:val="1"/>
      </w:pPr>
      <w:r>
        <w:br/>
        <w:t>Reducir el tiempo medio de detección de incidentes críticos hasta un valor compatible con la ventana de notificación NIS2 (24h) y con la velocidad operativa de los atacantes.</w:t>
        <w:br/>
      </w:r>
    </w:p>
    <w:p>
      <w:pPr>
        <w:pStyle w:val="ListBullet"/>
        <w:keepLines w:val="1"/>
        <w:keepNext w:val="1"/>
        <w:widowControl w:val="1"/>
      </w:pPr>
      <w:r>
        <w:br/>
        <w:t>Q-DR1.1: ¿En cuánto tiempo se detectan actualmente los incidentes críticos desde el inicio de la actividad maliciosa?</w:t>
        <w:br/>
      </w:r>
    </w:p>
    <w:p>
      <w:pPr>
        <w:pStyle w:val="ListBullet"/>
        <w:keepLines w:val="1"/>
        <w:keepNext w:val="1"/>
        <w:widowControl w:val="1"/>
      </w:pPr>
      <w:r>
        <w:t>Q-DR1.2: ¿Cuál es la tendencia del MTTD en los últimos 12 meses (mejora, empeora, estancado)?</w:t>
      </w:r>
    </w:p>
    <w:p>
      <w:pPr>
        <w:pStyle w:val="ListBullet"/>
        <w:keepLines w:val="1"/>
        <w:keepNext w:val="1"/>
        <w:widowControl w:val="1"/>
      </w:pPr>
      <w:r>
        <w:br/>
        <w:t>Q-DR1.3: ¿Existen diferencias significativas de MTTD entre tipos de incidente (ransomware, DDoS, exfiltración)?</w:t>
        <w:br/>
      </w:r>
    </w:p>
    <w:p>
      <w:pPr>
        <w:pStyle w:val="ListBullet"/>
        <w:keepLines w:val="1"/>
        <w:keepNext w:val="1"/>
        <w:widowControl w:val="1"/>
      </w:pPr>
      <w:r>
        <w:br/>
        <w:t>Métricas (M-DR1.x):</w:t>
        <w:br/>
      </w:r>
    </w:p>
    <w:p>
      <w:pPr>
        <w:pStyle w:val="ListBullet"/>
        <w:keepLines w:val="1"/>
        <w:keepNext w:val="1"/>
        <w:widowControl w:val="1"/>
      </w:pPr>
      <w:r>
        <w:t>M-DR1.1: MTTD medio (en minutos/horas) para incidentes de severidad ALTA/CRÍTICA.</w:t>
      </w:r>
    </w:p>
    <w:p>
      <w:pPr>
        <w:pStyle w:val="ListBullet"/>
        <w:keepLines w:val="1"/>
        <w:keepNext w:val="1"/>
        <w:widowControl w:val="1"/>
      </w:pPr>
      <w:r>
        <w:t>M-DR1.2: Distribución de MTTD (percentiles 50, 75, 90).</w:t>
      </w:r>
    </w:p>
    <w:p>
      <w:pPr>
        <w:pStyle w:val="ListBullet"/>
        <w:keepLines w:val="1"/>
        <w:keepNext w:val="1"/>
        <w:widowControl w:val="1"/>
      </w:pPr>
      <w:r>
        <w:t>M-DR1.3: MTTD por tipo de incidente (categorías ENISA Threat Landscape).</w:t>
      </w:r>
    </w:p>
    <w:p>
      <w:pPr>
        <w:pStyle w:val="ListBullet"/>
        <w:keepLines w:val="1"/>
        <w:widowControl w:val="1"/>
      </w:pPr>
      <w:r>
        <w:t>M-DR1.4: MTTD máximo registrado en el último año (outliers).</w:t>
      </w:r>
    </w:p>
    <w:p>
      <w:r>
        <w:rPr>
          <w:i/>
        </w:rPr>
        <w:t>Reducir el tiempo medio de detección de incidentes críticos hasta un valor compatible con la ventana de notificación NIS2 (24h) y con la velocidad operativa de los atacantes.</w:t>
      </w:r>
    </w:p>
    <w:p>
      <w:r>
        <w:rPr>
          <w:b/>
        </w:rPr>
        <w:t>Q-DR1.1:</w:t>
      </w:r>
      <w:r>
        <w:t xml:space="preserve"> ¿En cuánto tiempo se detectan actualmente los incidentes críticos desde el inicio de la actividad maliciosa?</w:t>
      </w:r>
    </w:p>
    <w:p>
      <w:r>
        <w:rPr>
          <w:b/>
        </w:rPr>
        <w:t>Q-DR1.3:</w:t>
      </w:r>
      <w:r>
        <w:t xml:space="preserve"> ¿Existen diferencias significativas de MTTD entre tipos de incidente (ransomware, DDoS, exfiltración)?</w:t>
      </w:r>
    </w:p>
    <w:p>
      <w:r>
        <w:rPr>
          <w:b/>
        </w:rPr>
        <w:t>Métricas (M-DR1.x):</w:t>
      </w:r>
    </w:p>
    <w:p>
      <w:pPr>
        <w:pStyle w:val="Heading4"/>
        <w:keepNext/>
        <w:keepLines/>
      </w:pPr>
      <w:r>
        <w:t>3.1.2. MTTC — Mean Time to Contain</w:t>
      </w:r>
    </w:p>
    <w:p>
      <w:pPr>
        <w:pStyle w:val="ListBullet"/>
        <w:keepLines w:val="1"/>
        <w:keepNext w:val="1"/>
        <w:widowControl w:val="1"/>
      </w:pPr>
      <w:r>
        <w:br/>
        <w:t>G-DR2: Limitar el "blast radius" de los incidentes reduciendo el tiempo medio de contención hasta niveles que impidan el movimiento lateral significativo y la exfiltración masiva.</w:t>
        <w:br/>
      </w:r>
    </w:p>
    <w:p>
      <w:pPr>
        <w:pStyle w:val="ListBullet"/>
        <w:keepLines w:val="1"/>
        <w:keepNext w:val="1"/>
        <w:widowControl w:val="1"/>
      </w:pPr>
      <w:r>
        <w:br/>
        <w:t>Q-DR2.1: ¿Cuánto tiempo transcurre de media entre la detección y la contención efectiva del incidente?</w:t>
        <w:br/>
      </w:r>
    </w:p>
    <w:p>
      <w:pPr>
        <w:pStyle w:val="ListBullet"/>
        <w:keepLines w:val="1"/>
        <w:keepNext w:val="1"/>
        <w:widowControl w:val="1"/>
      </w:pPr>
      <w:r>
        <w:br/>
        <w:t>Q-DR2.2: ¿Qué porcentaje de incidentes críticos se contiene dentro del umbral definido en el SLA MSS?</w:t>
        <w:br/>
      </w:r>
    </w:p>
    <w:p>
      <w:pPr>
        <w:pStyle w:val="ListBullet"/>
        <w:keepLines w:val="1"/>
        <w:keepNext w:val="1"/>
        <w:widowControl w:val="1"/>
      </w:pPr>
      <w:r>
        <w:br/>
        <w:t>Métricas:</w:t>
        <w:br/>
      </w:r>
    </w:p>
    <w:p>
      <w:pPr>
        <w:pStyle w:val="ListBullet"/>
        <w:keepLines w:val="1"/>
        <w:keepNext w:val="1"/>
        <w:widowControl w:val="1"/>
      </w:pPr>
      <w:r>
        <w:t>M-DR2.1: MTTC medio (minutos/horas) incidentes críticos.</w:t>
      </w:r>
    </w:p>
    <w:p>
      <w:pPr>
        <w:pStyle w:val="ListBullet"/>
        <w:keepLines w:val="1"/>
        <w:widowControl w:val="1"/>
      </w:pPr>
      <w:r>
        <w:t>M-DR2.2: % de incidentes contenidos dentro del SLA (p.ej. &lt;4h).</w:t>
      </w:r>
    </w:p>
    <w:p>
      <w:r>
        <w:rPr>
          <w:b/>
        </w:rPr>
        <w:t>G-DR2:</w:t>
      </w:r>
      <w:r>
        <w:t xml:space="preserve"> </w:t>
      </w:r>
      <w:r>
        <w:rPr>
          <w:i/>
        </w:rPr>
        <w:t>Limitar el "blast radius" de los incidentes reduciendo el tiempo medio de contención hasta niveles que impidan el movimiento lateral significativo y la exfiltración masiva.</w:t>
      </w:r>
    </w:p>
    <w:p>
      <w:r>
        <w:rPr>
          <w:b/>
        </w:rPr>
        <w:t>Q-DR2.1:</w:t>
      </w:r>
      <w:r>
        <w:t xml:space="preserve"> ¿Cuánto tiempo transcurre de media entre la detección y la contención efectiva del incidente?</w:t>
      </w:r>
    </w:p>
    <w:p>
      <w:r>
        <w:rPr>
          <w:b/>
        </w:rPr>
        <w:t>Q-DR2.2:</w:t>
      </w:r>
      <w:r>
        <w:t xml:space="preserve"> ¿Qué porcentaje de incidentes críticos se contiene dentro del umbral definido en el SLA MSS?</w:t>
      </w:r>
    </w:p>
    <w:p>
      <w:r>
        <w:rPr>
          <w:b/>
        </w:rPr>
        <w:t>Métricas:</w:t>
      </w:r>
    </w:p>
    <w:p>
      <w:pPr>
        <w:pStyle w:val="Heading4"/>
        <w:keepNext/>
        <w:keepLines/>
      </w:pPr>
      <w:r>
        <w:t>3.1.3. MTTR — Mean Time to Respond/Recover</w:t>
      </w:r>
    </w:p>
    <w:p>
      <w:pPr>
        <w:pStyle w:val="ListBullet"/>
        <w:keepLines w:val="1"/>
        <w:keepNext w:val="1"/>
        <w:widowControl w:val="1"/>
      </w:pPr>
      <w:r>
        <w:br/>
        <w:t>G-DR3: Minimizar el tiempo de restauración segura de servicios críticos tras incidentes significativos, de modo que el impacto en negocio se mantenga dentro del apetito de riesgo aprobado.</w:t>
        <w:br/>
      </w:r>
    </w:p>
    <w:p>
      <w:pPr>
        <w:pStyle w:val="ListBullet"/>
        <w:keepLines w:val="1"/>
        <w:keepNext w:val="1"/>
        <w:widowControl w:val="1"/>
      </w:pPr>
      <w:r>
        <w:br/>
        <w:t>Q-DR3.1: ¿Cuál es el tiempo medio de recuperación para incidentes críticos?</w:t>
        <w:br/>
      </w:r>
    </w:p>
    <w:p>
      <w:pPr>
        <w:pStyle w:val="ListBullet"/>
        <w:keepLines w:val="1"/>
        <w:keepNext w:val="1"/>
        <w:widowControl w:val="1"/>
      </w:pPr>
      <w:r>
        <w:br/>
        <w:t>Q-DR3.2: ¿Qué porcentaje de incidentes críticos se resuelven dentro de los objetivos RTO definidos en el BCP?</w:t>
        <w:br/>
      </w:r>
    </w:p>
    <w:p>
      <w:pPr>
        <w:pStyle w:val="ListBullet"/>
        <w:keepLines w:val="1"/>
        <w:keepNext w:val="1"/>
        <w:widowControl w:val="1"/>
      </w:pPr>
      <w:r>
        <w:br/>
        <w:t>Métricas:</w:t>
        <w:br/>
      </w:r>
    </w:p>
    <w:p>
      <w:pPr>
        <w:pStyle w:val="ListBullet"/>
        <w:keepLines w:val="1"/>
        <w:keepNext w:val="1"/>
        <w:widowControl w:val="1"/>
      </w:pPr>
      <w:r>
        <w:t>M-DR3.1: MTTR medio (horas/días) para incidentes críticos.</w:t>
      </w:r>
    </w:p>
    <w:p>
      <w:pPr>
        <w:pStyle w:val="ListBullet"/>
        <w:keepLines w:val="1"/>
        <w:widowControl w:val="1"/>
      </w:pPr>
      <w:r>
        <w:t>M-DR3.2: % de incidentes en los que se cumple RTO.</w:t>
      </w:r>
    </w:p>
    <w:p>
      <w:r>
        <w:rPr>
          <w:b/>
        </w:rPr>
        <w:t>G-DR3:</w:t>
      </w:r>
      <w:r>
        <w:t xml:space="preserve"> </w:t>
      </w:r>
      <w:r>
        <w:rPr>
          <w:i/>
        </w:rPr>
        <w:t>Minimizar el tiempo de restauración segura de servicios críticos tras incidentes significativos, de modo que el impacto en negocio se mantenga dentro del apetito de riesgo aprobado.</w:t>
      </w:r>
    </w:p>
    <w:p>
      <w:r>
        <w:rPr>
          <w:b/>
        </w:rPr>
        <w:t>Q-DR3.1:</w:t>
      </w:r>
      <w:r>
        <w:t xml:space="preserve"> ¿Cuál es el tiempo medio de recuperación para incidentes críticos?</w:t>
      </w:r>
    </w:p>
    <w:p>
      <w:r>
        <w:rPr>
          <w:b/>
        </w:rPr>
        <w:t>Q-DR3.2:</w:t>
      </w:r>
      <w:r>
        <w:t xml:space="preserve"> ¿Qué porcentaje de incidentes críticos se resuelven dentro de los objetivos RTO definidos en el BCP?</w:t>
      </w:r>
    </w:p>
    <w:p>
      <w:r>
        <w:rPr>
          <w:b/>
        </w:rPr>
        <w:t>Métricas:</w:t>
      </w:r>
    </w:p>
    <w:p>
      <w:pPr>
        <w:pStyle w:val="Heading4"/>
        <w:keepNext/>
        <w:keepLines/>
      </w:pPr>
      <w:r>
        <w:t>3.1.4. FPR — False Positive Rate</w:t>
      </w:r>
    </w:p>
    <w:p>
      <w:pPr>
        <w:pStyle w:val="ListBullet"/>
        <w:keepLines w:val="1"/>
        <w:keepNext w:val="1"/>
        <w:widowControl w:val="1"/>
      </w:pPr>
      <w:r>
        <w:br/>
        <w:t>G-DR4: Reducir la tasa de falsos positivos a un nivel que no genere fatiga de analistas ni oculte incidentes reales.</w:t>
        <w:br/>
      </w:r>
    </w:p>
    <w:p>
      <w:pPr>
        <w:pStyle w:val="ListBullet"/>
        <w:keepLines w:val="1"/>
        <w:keepNext w:val="1"/>
        <w:widowControl w:val="1"/>
      </w:pPr>
      <w:r>
        <w:br/>
        <w:t>Q-DR4.1: ¿Qué porcentaje de alertas analizadas resulta ser falso positivo?</w:t>
        <w:br/>
      </w:r>
    </w:p>
    <w:p>
      <w:pPr>
        <w:pStyle w:val="ListBullet"/>
        <w:keepLines w:val="1"/>
        <w:keepNext w:val="1"/>
        <w:widowControl w:val="1"/>
      </w:pPr>
      <w:r>
        <w:br/>
        <w:t>Q-DR4.2: ¿Cuál es la tendencia trimestral de la FPR?</w:t>
        <w:br/>
      </w:r>
    </w:p>
    <w:p>
      <w:pPr>
        <w:pStyle w:val="ListBullet"/>
        <w:keepLines w:val="1"/>
        <w:keepNext w:val="1"/>
        <w:widowControl w:val="1"/>
      </w:pPr>
      <w:r>
        <w:br/>
        <w:t>Métricas:</w:t>
        <w:br/>
      </w:r>
    </w:p>
    <w:p>
      <w:pPr>
        <w:pStyle w:val="ListBullet"/>
        <w:keepLines w:val="1"/>
        <w:keepNext w:val="1"/>
        <w:widowControl w:val="1"/>
      </w:pPr>
      <w:r>
        <w:t>M-DR4.1: FPR (%) = (nº alertas falsas / nº alertas totales analizadas) × 100.</w:t>
      </w:r>
    </w:p>
    <w:p>
      <w:pPr>
        <w:pStyle w:val="ListBullet"/>
        <w:keepLines w:val="1"/>
        <w:widowControl w:val="1"/>
      </w:pPr>
      <w:r>
        <w:t>M-DR4.2: FPR por fuente de alertas (SIEM, EDR, IDS, etc.).</w:t>
      </w:r>
    </w:p>
    <w:p>
      <w:r>
        <w:rPr>
          <w:b/>
        </w:rPr>
        <w:t>G-DR4:</w:t>
      </w:r>
      <w:r>
        <w:t xml:space="preserve"> </w:t>
      </w:r>
      <w:r>
        <w:rPr>
          <w:i/>
        </w:rPr>
        <w:t>Reducir la tasa de falsos positivos a un nivel que no genere fatiga de analistas ni oculte incidentes reales.</w:t>
      </w:r>
    </w:p>
    <w:p>
      <w:r>
        <w:rPr>
          <w:b/>
        </w:rPr>
        <w:t>Q-DR4.1:</w:t>
      </w:r>
      <w:r>
        <w:t xml:space="preserve"> ¿Qué porcentaje de alertas analizadas resulta ser falso positivo?</w:t>
      </w:r>
    </w:p>
    <w:p>
      <w:r>
        <w:rPr>
          <w:b/>
        </w:rPr>
        <w:t>Q-DR4.2:</w:t>
      </w:r>
      <w:r>
        <w:t xml:space="preserve"> ¿Cuál es la tendencia trimestral de la FPR?</w:t>
      </w:r>
    </w:p>
    <w:p>
      <w:r>
        <w:rPr>
          <w:b/>
        </w:rPr>
        <w:t>Métricas:</w:t>
      </w:r>
    </w:p>
    <w:p>
      <w:pPr>
        <w:pStyle w:val="Heading3"/>
        <w:keepNext/>
        <w:keepLines/>
      </w:pPr>
      <w:r>
        <w:t>3.2. Pilar Cobertura y Gestión de Vulnerabilidades — ACR, Tiempos de Remediación</w:t>
      </w:r>
    </w:p>
    <w:p>
      <w:pPr>
        <w:pStyle w:val="Heading4"/>
        <w:keepNext/>
        <w:keepLines/>
      </w:pPr>
      <w:r>
        <w:t>3.2.1. ACR — Asset Coverage Ratio</w:t>
      </w:r>
    </w:p>
    <w:p>
      <w:pPr>
        <w:pStyle w:val="ListBullet"/>
        <w:keepLines w:val="1"/>
        <w:keepNext w:val="1"/>
        <w:widowControl w:val="1"/>
      </w:pPr>
      <w:r>
        <w:br/>
        <w:t>G-CV1: Asegurar que la práctica totalidad de los activos críticos está monitorizada y gestionada por el MSS, minimizando el "shadow IT" y las islas no supervisadas.</w:t>
        <w:br/>
      </w:r>
    </w:p>
    <w:p>
      <w:pPr>
        <w:pStyle w:val="ListBullet"/>
        <w:keepLines w:val="1"/>
        <w:keepNext w:val="1"/>
        <w:widowControl w:val="1"/>
      </w:pPr>
      <w:r>
        <w:br/>
        <w:t>Q-CV1.1: ¿Qué porcentaje de activos críticos figura en el inventario y está integrado en el sistema de monitorización?</w:t>
        <w:br/>
      </w:r>
    </w:p>
    <w:p>
      <w:pPr>
        <w:pStyle w:val="ListBullet"/>
        <w:keepLines w:val="1"/>
        <w:keepNext w:val="1"/>
        <w:widowControl w:val="1"/>
      </w:pPr>
      <w:r>
        <w:br/>
        <w:t>Q-CV1.2: ¿Cuál es la brecha entre activos inventariados y activos efectivamente monitorizados?</w:t>
        <w:br/>
      </w:r>
    </w:p>
    <w:p>
      <w:pPr>
        <w:pStyle w:val="ListBullet"/>
        <w:keepLines w:val="1"/>
        <w:keepNext w:val="1"/>
        <w:widowControl w:val="1"/>
      </w:pPr>
      <w:r>
        <w:br/>
        <w:t>Métricas:</w:t>
        <w:br/>
      </w:r>
    </w:p>
    <w:p>
      <w:pPr>
        <w:pStyle w:val="ListBullet"/>
        <w:keepLines w:val="1"/>
        <w:keepNext w:val="1"/>
        <w:widowControl w:val="1"/>
      </w:pPr>
      <w:r>
        <w:t>M-CV1.1: ACR global (%) = (nº activos monitorizados / nº activos totales inventariados) × 100.</w:t>
      </w:r>
    </w:p>
    <w:p>
      <w:pPr>
        <w:pStyle w:val="ListBullet"/>
        <w:keepLines w:val="1"/>
        <w:widowControl w:val="1"/>
      </w:pPr>
      <w:r>
        <w:t>M-CV1.2: ACR para activos críticos definidos como "tier 1".</w:t>
      </w:r>
    </w:p>
    <w:p>
      <w:r>
        <w:rPr>
          <w:b/>
        </w:rPr>
        <w:t>G-CV1:</w:t>
      </w:r>
      <w:r>
        <w:t xml:space="preserve"> </w:t>
      </w:r>
      <w:r>
        <w:rPr>
          <w:i/>
        </w:rPr>
        <w:t>Asegurar que la práctica totalidad de los activos críticos está monitorizada y gestionada por el MSS, minimizando el "shadow IT" y las islas no supervisadas.</w:t>
      </w:r>
    </w:p>
    <w:p>
      <w:r>
        <w:rPr>
          <w:b/>
        </w:rPr>
        <w:t>Q-CV1.1:</w:t>
      </w:r>
      <w:r>
        <w:t xml:space="preserve"> ¿Qué porcentaje de activos críticos figura en el inventario y está integrado en el sistema de monitorización?</w:t>
      </w:r>
    </w:p>
    <w:p>
      <w:r>
        <w:rPr>
          <w:b/>
        </w:rPr>
        <w:t>Q-CV1.2:</w:t>
      </w:r>
      <w:r>
        <w:t xml:space="preserve"> ¿Cuál es la brecha entre activos inventariados y activos efectivamente monitorizados?</w:t>
      </w:r>
    </w:p>
    <w:p>
      <w:r>
        <w:rPr>
          <w:b/>
        </w:rPr>
        <w:t>Métricas:</w:t>
      </w:r>
    </w:p>
    <w:p>
      <w:pPr>
        <w:pStyle w:val="Heading4"/>
        <w:keepNext/>
        <w:keepLines/>
      </w:pPr>
      <w:r>
        <w:t>3.2.2. Tiempo de Remediación de Vulnerabilidades Críticas</w:t>
      </w:r>
    </w:p>
    <w:p>
      <w:pPr>
        <w:pStyle w:val="ListBullet"/>
        <w:keepLines w:val="1"/>
        <w:keepNext w:val="1"/>
        <w:widowControl w:val="1"/>
      </w:pPr>
      <w:r>
        <w:br/>
        <w:t>G-CV2: Reducir el tiempo de parcheo de vulnerabilidades críticas por debajo de los umbrales recomendados (p.ej. 7-30 días) y del tiempo medio de explotación en la naturaleza.</w:t>
        <w:br/>
      </w:r>
    </w:p>
    <w:p>
      <w:pPr>
        <w:pStyle w:val="ListBullet"/>
        <w:keepLines w:val="1"/>
        <w:keepNext w:val="1"/>
        <w:widowControl w:val="1"/>
      </w:pPr>
      <w:r>
        <w:br/>
        <w:t>Q-CV2.1: ¿Cuál es el tiempo medio de remediación de vulnerabilidades con CVSS ≥ 9?</w:t>
        <w:br/>
      </w:r>
    </w:p>
    <w:p>
      <w:pPr>
        <w:pStyle w:val="ListBullet"/>
        <w:keepLines w:val="1"/>
        <w:keepNext w:val="1"/>
        <w:widowControl w:val="1"/>
      </w:pPr>
      <w:r>
        <w:br/>
        <w:t>Q-CV2.2: ¿Qué porcentaje de vulnerabilidades críticas permanece abierto más allá del umbral definido (p.ej. 30 días)?</w:t>
        <w:br/>
      </w:r>
    </w:p>
    <w:p>
      <w:pPr>
        <w:pStyle w:val="ListBullet"/>
        <w:keepLines w:val="1"/>
        <w:keepNext w:val="1"/>
        <w:widowControl w:val="1"/>
      </w:pPr>
      <w:r>
        <w:br/>
        <w:t>Métricas:</w:t>
        <w:br/>
      </w:r>
    </w:p>
    <w:p>
      <w:pPr>
        <w:pStyle w:val="ListBullet"/>
        <w:keepLines w:val="1"/>
        <w:keepNext w:val="1"/>
        <w:widowControl w:val="1"/>
      </w:pPr>
      <w:r>
        <w:t>M-CV2.1: Tiempo medio de remediación (días) para CVEs críticas.</w:t>
      </w:r>
    </w:p>
    <w:p>
      <w:pPr>
        <w:pStyle w:val="ListBullet"/>
        <w:keepLines w:val="1"/>
        <w:widowControl w:val="1"/>
      </w:pPr>
      <w:r>
        <w:t>M-CV2.2: % de CVEs críticas abiertas &gt;30 días.</w:t>
      </w:r>
    </w:p>
    <w:p>
      <w:r>
        <w:rPr>
          <w:b/>
        </w:rPr>
        <w:t>G-CV2:</w:t>
      </w:r>
      <w:r>
        <w:t xml:space="preserve"> </w:t>
      </w:r>
      <w:r>
        <w:rPr>
          <w:i/>
        </w:rPr>
        <w:t>Reducir el tiempo de parcheo de vulnerabilidades críticas por debajo de los umbrales recomendados (p.ej. 7-30 días) y del tiempo medio de explotación en la naturaleza.</w:t>
      </w:r>
    </w:p>
    <w:p>
      <w:r>
        <w:rPr>
          <w:b/>
        </w:rPr>
        <w:t>Q-CV2.1:</w:t>
      </w:r>
      <w:r>
        <w:t xml:space="preserve"> ¿Cuál es el tiempo medio de remediación de vulnerabilidades con CVSS ≥ 9?</w:t>
      </w:r>
    </w:p>
    <w:p>
      <w:r>
        <w:rPr>
          <w:b/>
        </w:rPr>
        <w:t>Q-CV2.2:</w:t>
      </w:r>
      <w:r>
        <w:t xml:space="preserve"> ¿Qué porcentaje de vulnerabilidades críticas permanece abierto más allá del umbral definido (p.ej. 30 días)?</w:t>
      </w:r>
    </w:p>
    <w:p>
      <w:r>
        <w:rPr>
          <w:b/>
        </w:rPr>
        <w:t>Métricas:</w:t>
      </w:r>
    </w:p>
    <w:p>
      <w:pPr>
        <w:pStyle w:val="Heading3"/>
        <w:keepNext/>
        <w:keepLines/>
      </w:pPr>
      <w:r>
        <w:t>3.3. Pilar Cumplimiento y Gobernanza — Conformidad ENS/NIS2/DORA, TPRM, MFA</w:t>
      </w:r>
    </w:p>
    <w:p>
      <w:r>
        <w:t>La metodología GQM se aplica a indicadores como:</w:t>
      </w:r>
    </w:p>
    <w:p>
      <w:pPr>
        <w:pStyle w:val="ListBullet"/>
        <w:keepLines w:val="1"/>
        <w:keepNext w:val="1"/>
        <w:widowControl w:val="1"/>
      </w:pPr>
      <w:r>
        <w:t>Estado de conformidad ENS (por categoría de sistema).</w:t>
      </w:r>
    </w:p>
    <w:p>
      <w:pPr>
        <w:pStyle w:val="ListBullet"/>
        <w:keepLines w:val="1"/>
        <w:keepNext w:val="1"/>
        <w:widowControl w:val="1"/>
      </w:pPr>
      <w:r>
        <w:t>Estado de preparación NIS2 (brechas identificadas, acciones en curso).</w:t>
      </w:r>
    </w:p>
    <w:p>
      <w:pPr>
        <w:pStyle w:val="ListBullet"/>
        <w:keepLines w:val="1"/>
        <w:keepNext w:val="1"/>
        <w:widowControl w:val="1"/>
      </w:pPr>
      <w:r>
        <w:t>Existencia y eficacia del programa de gestión de riesgos de terceros (TPRM).</w:t>
      </w:r>
    </w:p>
    <w:p>
      <w:pPr>
        <w:pStyle w:val="ListBullet"/>
        <w:keepLines w:val="1"/>
        <w:widowControl w:val="1"/>
      </w:pPr>
      <w:r>
        <w:t>Grado de implantación de MFA.</w:t>
      </w:r>
    </w:p>
    <w:p>
      <w:r>
        <w:t xml:space="preserve">Ejemplo — </w:t>
      </w:r>
      <w:r>
        <w:rPr>
          <w:b/>
        </w:rPr>
        <w:t>MFA universal (P6.3 de la encuesta):</w:t>
      </w:r>
    </w:p>
    <w:p>
      <w:pPr>
        <w:pStyle w:val="ListBullet"/>
        <w:keepLines w:val="1"/>
        <w:keepNext w:val="1"/>
        <w:widowControl w:val="1"/>
      </w:pPr>
      <w:r>
        <w:t xml:space="preserve">G-GOV1: Garantizar que todos los accesos relevantes están protegidos por autenticación multifactor, tal como exige NIS2 Art. 21.2 j). </w:t>
      </w:r>
    </w:p>
    <w:p>
      <w:pPr>
        <w:pStyle w:val="ListBullet"/>
        <w:keepLines w:val="1"/>
        <w:keepNext w:val="1"/>
        <w:widowControl w:val="1"/>
      </w:pPr>
      <w:r>
        <w:t>Q-GOV1.1: ¿Qué porcentaje de usuarios dispone de MFA activado y requerido?</w:t>
      </w:r>
    </w:p>
    <w:p>
      <w:pPr>
        <w:pStyle w:val="ListBullet"/>
        <w:keepLines w:val="1"/>
        <w:keepNext w:val="1"/>
        <w:widowControl w:val="1"/>
      </w:pPr>
      <w:r>
        <w:t>Q-GOV1.2: ¿Qué flujos de autenticación carecen aún de MFA (aplicaciones legacy, accesos de terceros)?</w:t>
      </w:r>
    </w:p>
    <w:p>
      <w:pPr>
        <w:pStyle w:val="ListBullet"/>
        <w:keepLines w:val="1"/>
        <w:keepNext w:val="1"/>
        <w:widowControl w:val="1"/>
      </w:pPr>
      <w:r>
        <w:t>Métricas:</w:t>
      </w:r>
    </w:p>
    <w:p>
      <w:pPr>
        <w:pStyle w:val="ListBullet"/>
        <w:keepLines w:val="1"/>
        <w:keepNext w:val="1"/>
        <w:widowControl w:val="1"/>
      </w:pPr>
      <w:r>
        <w:t>% de cuentas con MFA obligatorio.</w:t>
      </w:r>
    </w:p>
    <w:p>
      <w:pPr>
        <w:pStyle w:val="ListBullet"/>
        <w:keepLines w:val="1"/>
        <w:widowControl w:val="1"/>
      </w:pPr>
      <w:r>
        <w:t>Nº de aplicaciones críticas sin MFA en todos sus flujos.</w:t>
      </w:r>
    </w:p>
    <w:p>
      <w:pPr>
        <w:pStyle w:val="Heading3"/>
        <w:keepNext/>
        <w:keepLines/>
      </w:pPr>
      <w:r>
        <w:t>3.4. Pilar Financiero-Actuarial — ALE, ROSI y Ciberseguro</w:t>
      </w:r>
    </w:p>
    <w:p>
      <w:r>
        <w:t xml:space="preserve">Ejemplo — </w:t>
      </w:r>
      <w:r>
        <w:rPr>
          <w:b/>
        </w:rPr>
        <w:t>ROSI de MSS (ver Plantilla IGM/ROSI):</w:t>
      </w:r>
    </w:p>
    <w:p>
      <w:pPr>
        <w:pStyle w:val="ListBullet"/>
        <w:keepLines w:val="1"/>
        <w:keepNext w:val="1"/>
        <w:widowControl w:val="1"/>
      </w:pPr>
      <w:r>
        <w:t>G-FIN1: Justificar económicamente la inversión en MSS demostrando reducción cuantificable del riesgo.</w:t>
      </w:r>
    </w:p>
    <w:p>
      <w:pPr>
        <w:pStyle w:val="ListBullet"/>
        <w:keepLines w:val="1"/>
        <w:keepNext w:val="1"/>
        <w:widowControl w:val="1"/>
      </w:pPr>
      <w:r>
        <w:t>Q-FIN1.1: ¿Cuánto perderíamos anualmente sin controles MSS (ALE_sin_controles)?</w:t>
      </w:r>
    </w:p>
    <w:p>
      <w:pPr>
        <w:pStyle w:val="ListBullet"/>
        <w:keepLines w:val="1"/>
        <w:keepNext w:val="1"/>
        <w:widowControl w:val="1"/>
      </w:pPr>
      <w:r>
        <w:t>Q-FIN1.2: ¿Cuánto perdemos con los controles MSS actuales (ALE_con_controles)?</w:t>
      </w:r>
    </w:p>
    <w:p>
      <w:pPr>
        <w:pStyle w:val="ListBullet"/>
        <w:keepLines w:val="1"/>
        <w:keepNext w:val="1"/>
        <w:widowControl w:val="1"/>
      </w:pPr>
      <w:r>
        <w:br/>
        <w:t>Q-FIN1.3: ¿Cuál es el payback de la inversión en MSS?</w:t>
        <w:br/>
      </w:r>
    </w:p>
    <w:p>
      <w:pPr>
        <w:pStyle w:val="ListBullet"/>
        <w:keepLines w:val="1"/>
        <w:keepNext w:val="1"/>
        <w:widowControl w:val="1"/>
      </w:pPr>
      <w:r>
        <w:br/>
        <w:t>Métricas:</w:t>
        <w:br/>
      </w:r>
    </w:p>
    <w:p>
      <w:pPr>
        <w:pStyle w:val="ListBullet"/>
        <w:keepLines w:val="1"/>
        <w:keepNext w:val="1"/>
        <w:widowControl w:val="1"/>
      </w:pPr>
      <w:r>
        <w:t>ALE_sin_controles, ALE_con_controles, Pérdidas_Evitadas.</w:t>
      </w:r>
    </w:p>
    <w:p>
      <w:pPr>
        <w:pStyle w:val="ListBullet"/>
        <w:keepLines w:val="1"/>
        <w:keepNext w:val="1"/>
        <w:widowControl w:val="1"/>
      </w:pPr>
      <w:r>
        <w:t>ROSI (%) = ((Pérdidas_Evitadas – Coste_MSS) / Coste_MSS) × 100.</w:t>
      </w:r>
    </w:p>
    <w:p>
      <w:pPr>
        <w:pStyle w:val="ListBullet"/>
        <w:keepLines w:val="1"/>
        <w:widowControl w:val="1"/>
      </w:pPr>
      <w:r>
        <w:t>Payback (años).</w:t>
      </w:r>
    </w:p>
    <w:p>
      <w:r>
        <w:rPr>
          <w:b/>
        </w:rPr>
        <w:t>Q-FIN1.3:</w:t>
      </w:r>
      <w:r>
        <w:t xml:space="preserve"> ¿Cuál es el payback de la inversión en MSS?</w:t>
      </w:r>
    </w:p>
    <w:p>
      <w:r>
        <w:rPr>
          <w:b/>
        </w:rPr>
        <w:t>Métricas:</w:t>
      </w:r>
    </w:p>
    <w:p>
      <w:pPr>
        <w:pStyle w:val="Heading3"/>
        <w:keepNext/>
        <w:keepLines/>
      </w:pPr>
      <w:r>
        <w:t>3.5. Pilar Tecnologías Emergentes — Preparación PQC, IA, OT/ICS</w:t>
      </w:r>
    </w:p>
    <w:p>
      <w:r>
        <w:t xml:space="preserve">Ejemplo — </w:t>
      </w:r>
      <w:r>
        <w:rPr>
          <w:b/>
        </w:rPr>
        <w:t>Crypto-Agility Score (PQC):</w:t>
      </w:r>
    </w:p>
    <w:p>
      <w:pPr>
        <w:pStyle w:val="ListBullet"/>
        <w:keepLines w:val="1"/>
        <w:keepNext w:val="1"/>
        <w:widowControl w:val="1"/>
      </w:pPr>
      <w:r>
        <w:t>G-EM1: Asegurar que los sistemas críticos pueden migrar a criptografía postcuántica sin rediseños traumáticos.</w:t>
      </w:r>
    </w:p>
    <w:p>
      <w:pPr>
        <w:pStyle w:val="ListBullet"/>
        <w:keepLines w:val="1"/>
        <w:keepNext w:val="1"/>
        <w:widowControl w:val="1"/>
      </w:pPr>
      <w:r>
        <w:t>Q-EM1.1: ¿Qué porcentaje de sistemas utiliza librerías criptográficas actualizables sin cambios estructurales?</w:t>
      </w:r>
    </w:p>
    <w:p>
      <w:pPr>
        <w:pStyle w:val="ListBullet"/>
        <w:keepLines w:val="1"/>
        <w:keepNext w:val="1"/>
        <w:widowControl w:val="1"/>
      </w:pPr>
      <w:r>
        <w:br/>
        <w:t>Q-EM1.2: ¿Cuántos sistemas críticos gestionan datos de larga vida con criptografía clásica vulnerable?</w:t>
        <w:br/>
      </w:r>
    </w:p>
    <w:p>
      <w:pPr>
        <w:pStyle w:val="ListBullet"/>
        <w:keepLines w:val="1"/>
        <w:keepNext w:val="1"/>
        <w:widowControl w:val="1"/>
      </w:pPr>
      <w:r>
        <w:br/>
        <w:t>Métricas:</w:t>
        <w:br/>
      </w:r>
    </w:p>
    <w:p>
      <w:pPr>
        <w:pStyle w:val="ListBullet"/>
        <w:keepLines w:val="1"/>
        <w:keepNext w:val="1"/>
        <w:widowControl w:val="1"/>
      </w:pPr>
      <w:r>
        <w:t>% de sistemas con crypto-agility declarada.</w:t>
      </w:r>
    </w:p>
    <w:p>
      <w:pPr>
        <w:pStyle w:val="ListBullet"/>
        <w:keepLines w:val="1"/>
        <w:widowControl w:val="1"/>
      </w:pPr>
      <w:r>
        <w:t>Nº de sistemas con datos de larga vida protegidos solo por RSA/ECC.</w:t>
      </w:r>
    </w:p>
    <w:p>
      <w:r>
        <w:rPr>
          <w:b/>
        </w:rPr>
        <w:t>Q-EM1.2:</w:t>
      </w:r>
      <w:r>
        <w:t xml:space="preserve"> ¿Cuántos sistemas críticos gestionan datos de larga vida con criptografía clásica vulnerable?</w:t>
      </w:r>
    </w:p>
    <w:p>
      <w:r>
        <w:rPr>
          <w:b/>
        </w:rPr>
        <w:t>Métricas:</w:t>
      </w:r>
    </w:p>
    <w:p>
      <w:pPr>
        <w:pStyle w:val="Heading2"/>
        <w:keepNext/>
        <w:keepLines/>
      </w:pPr>
      <w:r>
        <w:rPr>
          <w:color w:val="0066CC"/>
        </w:rPr>
        <w:t>4. MATRIZ PRAGMATIC PARA CADA MÉTRICA CLAVE</w:t>
      </w:r>
    </w:p>
    <w:p>
      <w:r>
        <w:t>Cada métrica propuesta se evalúa con la matriz PRAGMATIC. A modo de ejemplo, se presenta la valoración conceptual (de 0 a 10) para tres métricas emblemáticas: MTTD, ACR y ROSI.</w:t>
      </w:r>
    </w:p>
    <w:p>
      <w:pPr>
        <w:pStyle w:val="Heading3"/>
        <w:keepNext/>
        <w:keepLines/>
      </w:pPr>
      <w:r>
        <w:t>4.1. Ejemplo 1 — MTTD (Mean Time to Detect)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 PRAGMATIC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 conceptual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 — 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Un MTTD bajo predice menor probabilidad de daño catastrófico; indicador fuertemente prospectivo.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 — 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vinculado a cumplimiento NIS2 (plazos 24h/72h) y al coste de incidentes.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disparar acciones concretas (más analistas, tuning de reglas, IA, etc.).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 — 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Si se instrumenta correctamente, se basa en datos exactos de time-stamping de alertas.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M — 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Fácil de explicar al Consejo ("¿en cuánto tiempo nos enteramos?").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 — 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medirse con precisión de minutos; riesgo de sesgo si no se delimita bien "inicio".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T — 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calcularse casi en tiempo real con SIEM/MDR bien configurado.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 — 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Relativamente independiente, aunque incentivos de "maquillar" casos borde existen.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C — 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Aprovecha datos ya disponibles en herramientas; coste incremental bajo.</w:t>
            </w:r>
          </w:p>
        </w:tc>
      </w:tr>
    </w:tbl>
    <w:p/>
    <w:p>
      <w:pPr>
        <w:pStyle w:val="Heading3"/>
        <w:keepNext/>
        <w:keepLines/>
      </w:pPr>
      <w:r>
        <w:t>4.2. Ejemplo 2 — ACR (Asset Coverage Ratio)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A mayor cobertura, menor probabilidad de incidentes no detectados.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Directamente relacionado con el principio "no se puede proteger lo que no se ve".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Sugiere acciones concretas: inventariar, desplegar agentes, integrar fuentes.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Depende de la calidad del inventario; riesgo de infra/overestimar activos.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Entendible por negocio: porcentaje de "superficie iluminada".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Margen de error por activos efímeros o shadow IT, pero manejable.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Requiere actualización frecuente del inventario; automatización deseable.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Menos susceptible de manipulación interesada, si se automatiza.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Requiere inversión inicial en CMDB, pero bajo coste marginal posterior.</w:t>
            </w:r>
          </w:p>
        </w:tc>
      </w:tr>
    </w:tbl>
    <w:p/>
    <w:p>
      <w:pPr>
        <w:pStyle w:val="Heading3"/>
        <w:keepNext/>
        <w:keepLines/>
      </w:pPr>
      <w:r>
        <w:t>4.3. Ejemplo 3 — ROSI de MSS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Evaluación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Predictivo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Proyecta pérdidas evitadas futuras; depende de supuestos.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Relevante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10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Central para decisiones de inversión en seguridad.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Accionable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Permite priorizar medidas con mayor retorno.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Genuino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Sensible a supuestos; requiere transparencia en el modelo.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Significativo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9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Habla en euros, lenguaje natural del Consejo.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Preciso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Modelo probabilístico; precisión limitada por datos históricos.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Oportuno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7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Puede calcularse en ciclos presupuestarios (anual).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Independiente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6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Riesgo de sesgos al "afinar" supuestos para apoyar decisiones deseadas.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Rentable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8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Coste de cálculo bajo comparado con el valor de la información.</w:t>
            </w:r>
          </w:p>
        </w:tc>
      </w:tr>
    </w:tbl>
    <w:p/>
    <w:p>
      <w:r>
        <w:t xml:space="preserve">La </w:t>
      </w:r>
      <w:r>
        <w:rPr>
          <w:b/>
        </w:rPr>
        <w:t>Matriz de Evaluación PRAGMATIC Completa</w:t>
      </w:r>
      <w:r>
        <w:t xml:space="preserve"> desarrolla esta tabla para todas las métricas candidatas, permitiendo seleccionar aquellas con mayor "metapuntuación" total.</w:t>
      </w:r>
    </w:p>
    <w:p>
      <w:pPr>
        <w:pStyle w:val="Heading2"/>
        <w:keepNext/>
        <w:keepLines/>
      </w:pPr>
      <w:r>
        <w:rPr>
          <w:color w:val="0066CC"/>
        </w:rPr>
        <w:t>5. ENCAJE CON GQM+Strategies: DEL OBJETIVO NACIONAL AL DATO DE LOG</w:t>
      </w:r>
    </w:p>
    <w:p>
      <w:r>
        <w:t xml:space="preserve">El enfoque </w:t>
      </w:r>
      <w:r>
        <w:rPr>
          <w:b/>
        </w:rPr>
        <w:t>GQM+Strategies</w:t>
      </w:r>
      <w:r>
        <w:t xml:space="preserve"> extiende GQM para enlazar explícitamente los objetivos de negocio con las estrategias y las métricas de nivel operativo[cite:129][cite:138]. Aplicado a MSS en España:</w:t>
      </w:r>
    </w:p>
    <w:p>
      <w:pPr>
        <w:pStyle w:val="ListNumber"/>
        <w:keepLines w:val="1"/>
        <w:keepNext w:val="1"/>
        <w:widowControl w:val="1"/>
      </w:pPr>
      <w:r>
        <w:t>Nivel 0 — Objetivo nacional (político):</w:t>
      </w:r>
    </w:p>
    <w:p>
      <w:pPr>
        <w:pStyle w:val="ListNumber"/>
        <w:keepLines w:val="1"/>
        <w:keepNext w:val="1"/>
        <w:widowControl w:val="1"/>
      </w:pPr>
      <w:r>
        <w:t>"Aumentar la resiliencia ciber de las infraestructuras esenciales españolas, reduciendo en un 50% el impacto de incidentes graves reportados a INCIBE en un horizonte de 5 años."</w:t>
      </w:r>
    </w:p>
    <w:p>
      <w:pPr>
        <w:pStyle w:val="ListNumber"/>
        <w:keepLines w:val="1"/>
        <w:keepNext w:val="1"/>
        <w:widowControl w:val="1"/>
      </w:pPr>
      <w:r>
        <w:t>Nivel 1 — Objetivo organizacional (empresa concreta):</w:t>
      </w:r>
    </w:p>
    <w:p>
      <w:pPr>
        <w:pStyle w:val="ListNumber"/>
        <w:keepLines w:val="1"/>
        <w:keepNext w:val="1"/>
        <w:widowControl w:val="1"/>
      </w:pPr>
      <w:r>
        <w:t>"Reducir el número y gravedad de incidentes críticos que afectan a nuestros servicios esenciales en un 30% en 3 años, cumpliendo NIS2/ENS."</w:t>
      </w:r>
    </w:p>
    <w:p>
      <w:pPr>
        <w:pStyle w:val="ListNumber"/>
        <w:keepLines w:val="1"/>
        <w:keepNext w:val="1"/>
        <w:widowControl w:val="1"/>
      </w:pPr>
      <w:r>
        <w:t>Nivel 2 — Objetivo de servicio MSS:</w:t>
      </w:r>
    </w:p>
    <w:p>
      <w:pPr>
        <w:pStyle w:val="ListNumber"/>
        <w:keepLines w:val="1"/>
        <w:keepNext w:val="1"/>
        <w:widowControl w:val="1"/>
      </w:pPr>
      <w:r>
        <w:t xml:space="preserve">"Reducir el MTTD de incidentes críticos a menos de 1 hora y el MTTR a menos de 24 horas antes de final de año." </w:t>
      </w:r>
    </w:p>
    <w:p>
      <w:pPr>
        <w:pStyle w:val="ListNumber"/>
        <w:keepLines w:val="1"/>
        <w:keepNext w:val="1"/>
        <w:widowControl w:val="1"/>
      </w:pPr>
      <w:r>
        <w:t>Nivel 3 — Objetivo técnico:</w:t>
      </w:r>
    </w:p>
    <w:p>
      <w:pPr>
        <w:pStyle w:val="ListNumber"/>
        <w:keepLines w:val="1"/>
        <w:keepNext w:val="1"/>
        <w:widowControl w:val="1"/>
      </w:pPr>
      <w:r>
        <w:t xml:space="preserve">"Optimizar reglas SIEM, despliegue EDR y procesos de escalado para incrementar en un 40% la proporción de incidentes detectados automáticamente." </w:t>
      </w:r>
    </w:p>
    <w:p>
      <w:pPr>
        <w:pStyle w:val="ListNumber"/>
        <w:keepLines w:val="1"/>
        <w:keepNext w:val="1"/>
        <w:widowControl w:val="1"/>
      </w:pPr>
      <w:r>
        <w:t>Preguntas y métricas asociadas:</w:t>
      </w:r>
    </w:p>
    <w:p>
      <w:pPr>
        <w:pStyle w:val="ListNumber"/>
        <w:keepLines w:val="1"/>
        <w:keepNext w:val="1"/>
        <w:widowControl w:val="1"/>
      </w:pPr>
      <w:r>
        <w:t>Q: ¿Cuál es el MTTD actual? → M: MTTD (min).</w:t>
      </w:r>
    </w:p>
    <w:p>
      <w:pPr>
        <w:pStyle w:val="ListNumber"/>
        <w:keepLines w:val="1"/>
        <w:widowControl w:val="1"/>
      </w:pPr>
      <w:r>
        <w:t>Q: ¿Qué porcentaje de incidentes se detecta automáticamente? → M: % detecciones automáticas.</w:t>
      </w:r>
    </w:p>
    <w:p>
      <w:r>
        <w:t>Este encadenamiento permite trazar, por ejemplo, cómo un cambio en la configuración del SIEM (dato técnico) contribuye —a través de la reducción de MTTD— a los objetivos nacionales de resiliencia.</w:t>
      </w:r>
    </w:p>
    <w:p>
      <w:pPr>
        <w:pStyle w:val="Heading2"/>
        <w:keepNext/>
        <w:keepLines/>
      </w:pPr>
      <w:r>
        <w:rPr>
          <w:color w:val="0066CC"/>
        </w:rPr>
        <w:t>6. USO PRÁCTICO DEL MARCO GQM + PRAGMATIC EN EL CONTEXTO MSS</w:t>
      </w:r>
    </w:p>
    <w:p>
      <w:pPr>
        <w:pStyle w:val="Heading3"/>
        <w:keepNext/>
        <w:keepLines/>
      </w:pPr>
      <w:r>
        <w:t>6.1. Proceso recomendado de diseño de indicadores</w:t>
      </w:r>
    </w:p>
    <w:p>
      <w:pPr>
        <w:pStyle w:val="ListNumber"/>
        <w:keepLines w:val="1"/>
        <w:keepNext w:val="1"/>
        <w:widowControl w:val="1"/>
      </w:pPr>
      <w:r>
        <w:t>Identificar los objetivos estratégicos nacionales y organizacionales (Goals G0.x, G-DRx, G-CVx, etc.).</w:t>
      </w:r>
    </w:p>
    <w:p>
      <w:pPr>
        <w:pStyle w:val="ListNumber"/>
        <w:keepLines w:val="1"/>
        <w:keepNext w:val="1"/>
        <w:widowControl w:val="1"/>
      </w:pPr>
      <w:r>
        <w:t>Derivar preguntas concretas (Questions) que evidencien el grado de consecución de cada objetivo.</w:t>
      </w:r>
    </w:p>
    <w:p>
      <w:pPr>
        <w:pStyle w:val="ListNumber"/>
        <w:keepLines w:val="1"/>
        <w:keepNext w:val="1"/>
        <w:widowControl w:val="1"/>
      </w:pPr>
      <w:r>
        <w:t>Proponer un conjunto inicial de métricas (Metrics) por pregunta, basadas en datos accesibles.</w:t>
      </w:r>
    </w:p>
    <w:p>
      <w:pPr>
        <w:pStyle w:val="ListNumber"/>
        <w:keepLines w:val="1"/>
        <w:keepNext w:val="1"/>
        <w:widowControl w:val="1"/>
      </w:pPr>
      <w:r>
        <w:t>Evaluar cada métrica candidata con el marco PRAGMATIC (0-10 por criterio).</w:t>
      </w:r>
    </w:p>
    <w:p>
      <w:pPr>
        <w:pStyle w:val="ListNumber"/>
        <w:keepLines w:val="1"/>
        <w:keepNext w:val="1"/>
        <w:widowControl w:val="1"/>
      </w:pPr>
      <w:r>
        <w:t>Seleccionar aquellas métricas que superen un umbral PRAGMATIC total (p.ej. ≥60/90) y no suspendan en más de 2 criterios clave (Predictivo, Relevante, Accionable).</w:t>
      </w:r>
    </w:p>
    <w:p>
      <w:pPr>
        <w:pStyle w:val="ListNumber"/>
        <w:keepLines w:val="1"/>
        <w:keepNext w:val="1"/>
        <w:widowControl w:val="1"/>
      </w:pPr>
      <w:r>
        <w:t>Integrar las métricas seleccionadas en los SLAs MSS, los cuadros de mando y los informes a la Alta Dirección.</w:t>
      </w:r>
    </w:p>
    <w:p>
      <w:pPr>
        <w:pStyle w:val="ListNumber"/>
        <w:keepLines w:val="1"/>
        <w:widowControl w:val="1"/>
      </w:pPr>
      <w:r>
        <w:t>Revisar anualmente el conjunto de métricas a la luz de cambios tecnológicos, de amenaza y regulatorios.</w:t>
      </w:r>
    </w:p>
    <w:p>
      <w:pPr>
        <w:pStyle w:val="Heading3"/>
        <w:keepNext/>
        <w:keepLines/>
      </w:pPr>
      <w:r>
        <w:t>6.2. Relación con la Encuesta MSS</w:t>
      </w:r>
    </w:p>
    <w:p>
      <w:r>
        <w:t>El marco GQM + PRAGMATIC se integra de la siguiente forma con la Encuesta MSS y el IGM-MSS:</w:t>
      </w:r>
    </w:p>
    <w:p>
      <w:pPr>
        <w:pStyle w:val="ListBullet"/>
        <w:keepLines w:val="1"/>
        <w:keepNext w:val="1"/>
        <w:widowControl w:val="1"/>
      </w:pPr>
      <w:r>
        <w:t>Cada pregunta de la encuesta se asocia a uno o varios Goals y Questions GQM (ver documento de mapeo normativo y GQM específico).</w:t>
      </w:r>
    </w:p>
    <w:p>
      <w:pPr>
        <w:pStyle w:val="ListBullet"/>
        <w:keepLines w:val="1"/>
        <w:keepNext w:val="1"/>
        <w:widowControl w:val="1"/>
      </w:pPr>
      <w:r>
        <w:t>Cada métrica técnica (MTTD, MTTR, ACR, ROSI, etc.) tiene su ficha GQM y su ficha PRAGMATIC.</w:t>
      </w:r>
    </w:p>
    <w:p>
      <w:pPr>
        <w:pStyle w:val="ListBullet"/>
        <w:keepLines w:val="1"/>
        <w:widowControl w:val="1"/>
      </w:pPr>
      <w:r>
        <w:t>El IGM-MSS se construye a partir de métricas que han superado el filtro PRAGMATIC, asegurando que el índice no sea un promedio de números arbitrarios.</w:t>
      </w:r>
    </w:p>
    <w:p>
      <w:pPr>
        <w:pStyle w:val="Heading2"/>
        <w:keepNext/>
        <w:keepLines/>
      </w:pPr>
      <w:r>
        <w:rPr>
          <w:color w:val="0066CC"/>
        </w:rPr>
        <w:t>7. CONCLUSIÓN</w:t>
      </w:r>
    </w:p>
    <w:p>
      <w:r>
        <w:t>El marco integrativo GQM + PRAGMATIC convierte el problema nebuloso de "¿qué deberíamos medir?" en un proceso disciplinado y trazable:</w:t>
      </w:r>
    </w:p>
    <w:p>
      <w:pPr>
        <w:pStyle w:val="ListBullet"/>
        <w:keepLines w:val="1"/>
        <w:keepNext w:val="1"/>
        <w:widowControl w:val="1"/>
      </w:pPr>
      <w:r>
        <w:t>GQM asegura que cada métrica responde a preguntas que, a su vez, derivan de objetivos explícitos.</w:t>
      </w:r>
    </w:p>
    <w:p>
      <w:pPr>
        <w:pStyle w:val="ListBullet"/>
        <w:keepLines w:val="1"/>
        <w:widowControl w:val="1"/>
      </w:pPr>
      <w:r>
        <w:t>PRAGMATIC asegura que las métricas elegidas no solo sean conceptualmente correctas, sino útiles en la práctica, evitables de sesgos evidentes y razonables en coste.</w:t>
      </w:r>
    </w:p>
    <w:p>
      <w:r>
        <w:t>En un contexto en el que España ha multiplicado su inversión en ciberseguridad, se enfrenta a una presión regulatoria creciente y forma parte de un mercado MSS con fuerte dependencia de proveedores no-UE, disponer de un marco sólido para diseñar y seleccionar métricas deja de ser un lujo metodológico: se convierte en un requisito de supervivencia estratégica.</w:t>
      </w:r>
    </w:p>
    <w:p>
      <w:r>
        <w:rPr>
          <w:i/>
        </w:rPr>
        <w:t>Marco Integrativo GQM + PRAGMATIC — Versión 1.0 · Abril 2026</w:t>
      </w:r>
      <w:r/>
      <w:r>
        <w:br/>
      </w:r>
      <w:r>
        <w:rPr>
          <w:i/>
        </w:rPr>
        <w:t>Basado en: Basili &amp; Weiss (Goal–Question–Metric)[cite:129][cite:138][cite:141], PRAGMATIC Security Metrics (Brotby &amp; Hinson)[cite:130][cite:131][cite:136][cite:142], The Smart Approach to Selecting Good Cyber Security Metrics (2024)[cite:139], aplicaciones GQM a ciberseguridad[cite:134].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