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🎯 PLANTILLA DE REPORTE EJECUTIVO GQM + PRAGMATIC</w:t>
      </w:r>
    </w:p>
    <w:p>
      <w:pPr>
        <w:pStyle w:val="Heading2"/>
        <w:keepNext/>
        <w:keepLines/>
      </w:pPr>
      <w:r>
        <w:rPr>
          <w:color w:val="0066CC"/>
        </w:rPr>
        <w:t>Cómo Explicar al Consejo que las Métricas No Son Caprichos del CISO</w:t>
      </w:r>
    </w:p>
    <w:p>
      <w:pPr>
        <w:pStyle w:val="Heading4"/>
        <w:keepNext/>
        <w:keepLines/>
      </w:pPr>
      <w:r>
        <w:t>Versión 1.0 — Abril 2026</w:t>
      </w:r>
    </w:p>
    <w:p>
      <w:r>
        <w:rPr>
          <w:i/>
        </w:rPr>
        <w:t>"El objetivo no es mostrar muchas métricas, sino pocas métricas que expliquen muchas cosas."</w:t>
      </w:r>
    </w:p>
    <w:p>
      <w:pPr>
        <w:pStyle w:val="Heading2"/>
        <w:keepNext/>
        <w:keepLines/>
      </w:pPr>
      <w:r>
        <w:rPr>
          <w:color w:val="0066CC"/>
        </w:rPr>
        <w:t>1. PROPÓSITO DE LA PLANTILLA</w:t>
      </w:r>
    </w:p>
    <w:p>
      <w:r>
        <w:t>Esta plantilla de presentación (PowerPoint / Slides) traduce el marco GQM + PRAGMATIC a una narrativa ejecutiva comprensible para Alta Dirección y Consejo:</w:t>
      </w:r>
    </w:p>
    <w:p>
      <w:pPr>
        <w:pStyle w:val="ListBullet"/>
        <w:keepLines w:val="1"/>
        <w:keepNext w:val="1"/>
        <w:widowControl w:val="1"/>
      </w:pPr>
      <w:r>
        <w:t xml:space="preserve">Explica qué objetivos se persiguen (Goal).  </w:t>
      </w:r>
    </w:p>
    <w:p>
      <w:pPr>
        <w:pStyle w:val="ListBullet"/>
        <w:keepLines w:val="1"/>
        <w:keepNext w:val="1"/>
        <w:widowControl w:val="1"/>
      </w:pPr>
      <w:r>
        <w:t xml:space="preserve">Muestra qué preguntas se formulan para comprobar si se cumplen (Question).  </w:t>
      </w:r>
    </w:p>
    <w:p>
      <w:pPr>
        <w:pStyle w:val="ListBullet"/>
        <w:keepLines w:val="1"/>
        <w:keepNext w:val="1"/>
        <w:widowControl w:val="1"/>
      </w:pPr>
      <w:r>
        <w:t xml:space="preserve">Enseña qué métricas se han seleccionado y por qué son especialmente buenas (Metric + PRAGMATIC).  </w:t>
      </w:r>
    </w:p>
    <w:p>
      <w:pPr>
        <w:pStyle w:val="ListBullet"/>
        <w:keepLines w:val="1"/>
        <w:widowControl w:val="1"/>
      </w:pPr>
      <w:r>
        <w:t>Conecta todo ello con decisiones de inversión, riesgos regulatorios y retorno económico.</w:t>
      </w:r>
    </w:p>
    <w:p>
      <w:r>
        <w:rPr>
          <w:b/>
        </w:rPr>
        <w:t>Formato recomendado:</w:t>
      </w:r>
      <w:r>
        <w:t xml:space="preserve"> PowerPoint 365 / Google Slides</w:t>
      </w:r>
      <w:r/>
      <w:r>
        <w:br/>
      </w:r>
      <w:r>
        <w:rPr>
          <w:b/>
        </w:rPr>
        <w:t>Número de diapositivas nucleares:</w:t>
      </w:r>
      <w:r>
        <w:t xml:space="preserve"> 14 + apéndices técnicos</w:t>
      </w:r>
    </w:p>
    <w:p>
      <w:pPr>
        <w:pStyle w:val="Heading2"/>
        <w:keepNext/>
        <w:keepLines/>
      </w:pPr>
      <w:r>
        <w:rPr>
          <w:color w:val="0066CC"/>
        </w:rPr>
        <w:t>2. ESTRUCTURA PROPUESTA DE LA PRESENTACIÓN</w:t>
      </w:r>
    </w:p>
    <w:p>
      <w:pPr>
        <w:pStyle w:val="Heading3"/>
        <w:keepNext/>
        <w:keepLines/>
      </w:pPr>
      <w:r>
        <w:t>Slide 1 — Portada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Marco de Métricas MSS basado en GQM + PRAGMATIC</w:t>
      </w:r>
      <w:r/>
      <w:r>
        <w:br/>
      </w:r>
      <w:r>
        <w:rPr>
          <w:b/>
        </w:rPr>
        <w:t>Subtítulo:</w:t>
      </w:r>
      <w:r>
        <w:t xml:space="preserve"> </w:t>
      </w:r>
      <w:r>
        <w:rPr>
          <w:rFonts w:ascii="Courier New" w:hAnsi="Courier New"/>
          <w:sz w:val="18"/>
        </w:rPr>
        <w:t>De los objetivos nacionales a los logs del SOC</w:t>
      </w:r>
      <w:r/>
      <w:r>
        <w:br/>
      </w:r>
      <w:r>
        <w:rPr>
          <w:b/>
        </w:rPr>
        <w:t>Elementos:</w:t>
      </w:r>
      <w:r>
        <w:t xml:space="preserve"> Logo, nombre del ponente, fecha, clasificación (Confidencial)</w:t>
      </w:r>
    </w:p>
    <w:p>
      <w:pPr>
        <w:pStyle w:val="Heading3"/>
        <w:keepNext/>
        <w:keepLines/>
      </w:pPr>
      <w:r>
        <w:t>Slide 2 — Por qué Estamos Hablando de Métricas</w:t>
      </w:r>
    </w:p>
    <w:p>
      <w:r>
        <w:rPr>
          <w:b/>
        </w:rPr>
        <w:t>Objetivo:</w:t>
      </w:r>
      <w:r>
        <w:t xml:space="preserve"> Dar contexto sin abrumar.</w:t>
      </w:r>
    </w:p>
    <w:p>
      <w:r>
        <w:t>Elementos clave:</w:t>
      </w:r>
    </w:p>
    <w:p>
      <w:pPr>
        <w:pStyle w:val="ListBullet"/>
        <w:keepLines w:val="1"/>
        <w:keepNext w:val="1"/>
        <w:widowControl w:val="1"/>
      </w:pPr>
      <w:r>
        <w:t>Crecimiento de incidentes (datos INCIBE/ENISA)</w:t>
      </w:r>
    </w:p>
    <w:p>
      <w:pPr>
        <w:pStyle w:val="ListBullet"/>
        <w:keepLines w:val="1"/>
        <w:keepNext w:val="1"/>
        <w:widowControl w:val="1"/>
      </w:pPr>
      <w:r>
        <w:t>Entrada en vigor de NIS2/DORA/ENS</w:t>
      </w:r>
    </w:p>
    <w:p>
      <w:pPr>
        <w:pStyle w:val="ListBullet"/>
        <w:keepLines w:val="1"/>
        <w:widowControl w:val="1"/>
      </w:pPr>
      <w:r>
        <w:t>Inversión creciente en ciberseguridad</w:t>
      </w:r>
    </w:p>
    <w:p>
      <w:r>
        <w:rPr>
          <w:b/>
        </w:rPr>
        <w:t>Mensaje central:</w:t>
      </w:r>
      <w:r>
        <w:t xml:space="preserve"> </w:t>
      </w:r>
      <w:r>
        <w:rPr>
          <w:i/>
        </w:rPr>
        <w:t>"Si vamos a invertir más, debemos medir mejor."</w:t>
      </w:r>
    </w:p>
    <w:p>
      <w:pPr>
        <w:pStyle w:val="Heading3"/>
        <w:keepNext/>
        <w:keepLines/>
      </w:pPr>
      <w:r>
        <w:t>Slide 3 — De los Objetivos a las Métricas: GQM en una Mirada</w:t>
      </w:r>
    </w:p>
    <w:p>
      <w:r>
        <w:rPr>
          <w:b/>
        </w:rPr>
        <w:t>Visual:</w:t>
      </w:r>
      <w:r>
        <w:t xml:space="preserve"> Diagrama simple en tres niveles: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(GOAL) → PREGUNTAS (QUESTION) → MÉTRICAS (METRIC)</w:t>
        <w:br/>
        <w:br/>
        <w:t>Ejemplo:</w:t>
        <w:br/>
        <w:t>Goal: Reducir impacto de incidentes críticos.</w:t>
        <w:br/>
        <w:t>Question: ¿En cuánto tiempo los detectamos y los contenemos?</w:t>
        <w:br/>
        <w:t>Metric: MTTD, MTTC, MTTR.</w:t>
        <w:br/>
      </w:r>
    </w:p>
    <w:p>
      <w:r>
        <w:rPr>
          <w:b/>
        </w:rPr>
        <w:t>Nota de orador:</w:t>
      </w:r>
      <w:r>
        <w:t xml:space="preserve"> Explicar que ninguna métrica existe "porque sí": todas cuelgan de un objetivo explícito.</w:t>
      </w:r>
    </w:p>
    <w:p>
      <w:pPr>
        <w:pStyle w:val="Heading3"/>
        <w:keepNext/>
        <w:keepLines/>
      </w:pPr>
      <w:r>
        <w:t>Slide 4 — Cómo Elegimos las Métricas: PRAGMATIC</w:t>
      </w:r>
    </w:p>
    <w:p>
      <w:r>
        <w:rPr>
          <w:b/>
        </w:rPr>
        <w:t>Visual:</w:t>
      </w:r>
      <w:r>
        <w:t xml:space="preserve"> Tabla sencilla con las 9 letras y breve definición.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Letra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clave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¿Nos dice algo útil sobre el futuro a tiempo de actuar?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¿Le importa esta métrica a quien decide?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¿Sugiere qué hacer, no solo qué ha pasado?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Genuine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¿Se basa en datos reales, no cosméticos?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Meaningful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¿Se entiende sin intérprete simultáneo?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Accurate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lo bastante exacta para la decisión?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Timely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¿Llega a tiempo para influir?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Independent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¿No está sesgada por incentivos extraños?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Cheap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¿Cuesta menos de lo que vale?</w:t>
            </w:r>
          </w:p>
        </w:tc>
      </w:tr>
    </w:tbl>
    <w:p/>
    <w:p>
      <w:r>
        <w:rPr>
          <w:b/>
        </w:rPr>
        <w:t>Mensaje:</w:t>
      </w:r>
      <w:r>
        <w:t xml:space="preserve"> </w:t>
      </w:r>
      <w:r>
        <w:rPr>
          <w:i/>
        </w:rPr>
        <w:t>"No todo lo que podemos medir merece ser medido."</w:t>
      </w:r>
      <w:r>
        <w:t>[cite:130][cite:131][cite:136][cite:142]</w:t>
      </w:r>
    </w:p>
    <w:p>
      <w:pPr>
        <w:pStyle w:val="Heading3"/>
        <w:keepNext/>
        <w:keepLines/>
      </w:pPr>
      <w:r>
        <w:t>Slide 5 — Cadena Completa: Objetivo Nacional → Organización → MSS → Métrica</w:t>
      </w:r>
    </w:p>
    <w:p>
      <w:r>
        <w:rPr>
          <w:b/>
        </w:rPr>
        <w:t>Visual:</w:t>
      </w:r>
      <w:r>
        <w:t xml:space="preserve"> Cadena tipo GQM+Strategies[cite:129][cite:138].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NACIONAL</w:t>
        <w:br/>
        <w:t xml:space="preserve">  "Reducir el impacto de incidentes graves en infraestructuras esenciales"</w:t>
        <w:br/>
        <w:t xml:space="preserve">        ↓</w:t>
        <w:br/>
        <w:t>OBJETIVO ORGANIZACIÓN</w:t>
        <w:br/>
        <w:t xml:space="preserve">  "Reducir incidentes críticos un 30% en 3 años"</w:t>
        <w:br/>
        <w:t xml:space="preserve">        ↓</w:t>
        <w:br/>
        <w:t>OBJETIVO MSS</w:t>
        <w:br/>
        <w:t xml:space="preserve">  "MTTD &lt; 1h y MTTR &lt; 24h en incidentes críticos"</w:t>
        <w:br/>
        <w:t xml:space="preserve">        ↓</w:t>
        <w:br/>
        <w:t>PREGUNTAS</w:t>
        <w:br/>
        <w:t xml:space="preserve">  "¿Cuál es nuestro MTTD actual? ¿Cumplimos RTO?"</w:t>
        <w:br/>
        <w:t xml:space="preserve">        ↓</w:t>
        <w:br/>
        <w:t>MÉTRICAS</w:t>
        <w:br/>
        <w:t xml:space="preserve">  MTTD, MTTR, % incidentes dentro de RTO</w:t>
        <w:br/>
      </w:r>
    </w:p>
    <w:p>
      <w:r>
        <w:rPr>
          <w:b/>
        </w:rPr>
        <w:t>Mensaje:</w:t>
      </w:r>
      <w:r>
        <w:t xml:space="preserve"> Cada gráfico del dashboard debe poder recorrerse hacia arriba por esta cadena.</w:t>
      </w:r>
    </w:p>
    <w:p>
      <w:pPr>
        <w:pStyle w:val="Heading3"/>
        <w:keepNext/>
        <w:keepLines/>
      </w:pPr>
      <w:r>
        <w:t>Slide 6 — Nuestro Catálogo de Métricas MSS Seleccionadas</w:t>
      </w:r>
    </w:p>
    <w:p>
      <w:r>
        <w:rPr>
          <w:b/>
        </w:rPr>
        <w:t>Visual:</w:t>
      </w:r>
      <w:r>
        <w:t xml:space="preserve"> Tabla resumen con 8–10 métricas clave y su PRAGMATIC total.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/90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prioridad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G-DR1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G-DR3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G-CV1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MFA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G-GOV1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Tiempo remediación CVEs críticas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G-CV2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ROSI MSS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G-FIN1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Compliance ENS/NIS2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G-GOV2/G-GOV3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67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Alta</w:t>
            </w:r>
          </w:p>
        </w:tc>
      </w:tr>
    </w:tbl>
    <w:p/>
    <w:p>
      <w:r>
        <w:rPr>
          <w:b/>
        </w:rPr>
        <w:t>Nota:</w:t>
      </w:r>
      <w:r>
        <w:t xml:space="preserve"> Mencionar que las puntuaciones PRAGMATIC vienen del trabajo técnico en </w:t>
      </w:r>
      <w:r>
        <w:rPr>
          <w:rFonts w:ascii="Courier New" w:hAnsi="Courier New"/>
          <w:sz w:val="18"/>
        </w:rPr>
        <w:t>MSS-PRAGMATIC-matriz-completa.md</w:t>
      </w:r>
      <w:r>
        <w:t>.</w:t>
      </w:r>
    </w:p>
    <w:p>
      <w:pPr>
        <w:pStyle w:val="Heading3"/>
        <w:keepNext/>
        <w:keepLines/>
      </w:pPr>
      <w:r>
        <w:t>Slide 7 — "Radar" PRAGMATIC de una Métrica Emblemática (MTTD)</w:t>
      </w:r>
    </w:p>
    <w:p>
      <w:r>
        <w:rPr>
          <w:b/>
        </w:rPr>
        <w:t>Visual:</w:t>
      </w:r>
      <w:r>
        <w:t xml:space="preserve"> Gráfico radar 9-ejes (uno por criterio PRAGMATIC) para MTTD.</w:t>
      </w:r>
    </w:p>
    <w:p>
      <w:pPr>
        <w:pStyle w:val="ListBullet"/>
        <w:keepLines w:val="1"/>
        <w:widowControl w:val="1"/>
      </w:pPr>
      <w:r>
        <w:t>Mostrar claramente que MTTD puntúa muy alto en P, R, A, M, T y C.</w:t>
      </w:r>
    </w:p>
    <w:p>
      <w:r>
        <w:rPr>
          <w:b/>
        </w:rPr>
        <w:t>Mensaje:</w:t>
      </w:r>
      <w:r>
        <w:t xml:space="preserve"> </w:t>
      </w:r>
      <w:r>
        <w:rPr>
          <w:i/>
        </w:rPr>
        <w:t>"Aquí vemos por qué MTTD es una métrica estrella: predice, importa, mueve acciones y cuesta poco medirla."</w:t>
      </w:r>
    </w:p>
    <w:p>
      <w:pPr>
        <w:pStyle w:val="Heading3"/>
        <w:keepNext/>
        <w:keepLines/>
      </w:pPr>
      <w:r>
        <w:t>Slide 8 — Ejemplo 1: Cómo MTTD Afecta a NIS2 y al Negocio</w:t>
      </w:r>
    </w:p>
    <w:p>
      <w:r>
        <w:rPr>
          <w:b/>
        </w:rPr>
        <w:t>Visual:</w:t>
      </w:r>
      <w:r>
        <w:t xml:space="preserve"> Línea de tiempo con NIS2 Art. 23 (24h/72h) y nuestro MTTD actual.</w:t>
      </w:r>
    </w:p>
    <w:p>
      <w:r>
        <w:t>Texto sugerido:</w:t>
      </w:r>
    </w:p>
    <w:p>
      <w:pPr>
        <w:pStyle w:val="ListBullet"/>
        <w:keepLines w:val="1"/>
        <w:keepNext w:val="1"/>
        <w:widowControl w:val="1"/>
      </w:pPr>
      <w:r>
        <w:t xml:space="preserve">"MTTD actual: 4h → margen razonable para notificar en 24h"  </w:t>
      </w:r>
    </w:p>
    <w:p>
      <w:pPr>
        <w:pStyle w:val="ListBullet"/>
        <w:keepLines w:val="1"/>
        <w:widowControl w:val="1"/>
      </w:pPr>
      <w:r>
        <w:t xml:space="preserve">"Objetivo: MTTD 1h → margen holgado y menor daño operativo"  </w:t>
      </w:r>
    </w:p>
    <w:p>
      <w:r>
        <w:rPr>
          <w:b/>
        </w:rPr>
        <w:t>Mensaje:</w:t>
      </w:r>
      <w:r>
        <w:t xml:space="preserve"> A menor MTTD, menor probabilidad de sanciones y menor impacto de incidentes.</w:t>
      </w:r>
    </w:p>
    <w:p>
      <w:pPr>
        <w:pStyle w:val="Heading3"/>
        <w:keepNext/>
        <w:keepLines/>
      </w:pPr>
      <w:r>
        <w:t>Slide 9 — Ejemplo 2: % MFA vs. Riesgo de Compromiso de Cuentas</w:t>
      </w:r>
    </w:p>
    <w:p>
      <w:r>
        <w:rPr>
          <w:b/>
        </w:rPr>
        <w:t>Visual:</w:t>
      </w:r>
      <w:r>
        <w:t xml:space="preserve"> Barras comparando % MFA actual vs. objetivo, con referencia a NIS2.</w:t>
      </w:r>
    </w:p>
    <w:p>
      <w:pPr>
        <w:pStyle w:val="ListBullet"/>
        <w:keepLines w:val="1"/>
        <w:keepNext w:val="1"/>
        <w:widowControl w:val="1"/>
      </w:pPr>
      <w:r>
        <w:t xml:space="preserve">"Hoy: 62% de cuentas con MFA"  </w:t>
      </w:r>
    </w:p>
    <w:p>
      <w:pPr>
        <w:pStyle w:val="ListBullet"/>
        <w:keepLines w:val="1"/>
        <w:keepNext w:val="1"/>
        <w:widowControl w:val="1"/>
      </w:pPr>
      <w:r>
        <w:t xml:space="preserve">"Objetivo 12 meses: 95%"  </w:t>
      </w:r>
    </w:p>
    <w:p>
      <w:pPr>
        <w:pStyle w:val="ListBullet"/>
        <w:keepLines w:val="1"/>
        <w:widowControl w:val="1"/>
      </w:pPr>
      <w:r>
        <w:t>"Obligación explícita en NIS2 Art. 21.2 j)."</w:t>
      </w:r>
    </w:p>
    <w:p>
      <w:r>
        <w:rPr>
          <w:b/>
        </w:rPr>
        <w:t>Mensaje:</w:t>
      </w:r>
      <w:r>
        <w:t xml:space="preserve"> </w:t>
      </w:r>
      <w:r>
        <w:rPr>
          <w:i/>
        </w:rPr>
        <w:t>"Esta métrica no es estética técnica: es la diferencia entre cumplimiento e incumplimiento regulatorio."</w:t>
      </w:r>
    </w:p>
    <w:p>
      <w:pPr>
        <w:pStyle w:val="Heading3"/>
        <w:keepNext/>
        <w:keepLines/>
      </w:pPr>
      <w:r>
        <w:t>Slide 10 — Ejemplo 3: ROSI de MSS — Métrica económica</w:t>
      </w:r>
    </w:p>
    <w:p>
      <w:r>
        <w:rPr>
          <w:b/>
        </w:rPr>
        <w:t>Visual:</w:t>
      </w:r>
      <w:r>
        <w:t xml:space="preserve"> Gráfico de barras ALE_sin_controles vs. ALE_con_controles, con ROSI.</w:t>
      </w:r>
    </w:p>
    <w:p>
      <w:pPr>
        <w:pStyle w:val="ListBullet"/>
        <w:keepLines w:val="1"/>
        <w:keepNext w:val="1"/>
        <w:widowControl w:val="1"/>
      </w:pPr>
      <w:r>
        <w:t xml:space="preserve">"Pérdidas anuales esperadas sin MSS: X M€"  </w:t>
      </w:r>
    </w:p>
    <w:p>
      <w:pPr>
        <w:pStyle w:val="ListBullet"/>
        <w:keepLines w:val="1"/>
        <w:keepNext w:val="1"/>
        <w:widowControl w:val="1"/>
      </w:pPr>
      <w:r>
        <w:t xml:space="preserve">"Pérdidas anuales esperadas con MSS: Y M€"  </w:t>
      </w:r>
    </w:p>
    <w:p>
      <w:pPr>
        <w:pStyle w:val="ListBullet"/>
        <w:keepLines w:val="1"/>
        <w:widowControl w:val="1"/>
      </w:pPr>
      <w:r>
        <w:t xml:space="preserve">"ROSI: Z%"  </w:t>
      </w:r>
    </w:p>
    <w:p>
      <w:r>
        <w:rPr>
          <w:b/>
        </w:rPr>
        <w:t>Mensaje:</w:t>
      </w:r>
      <w:r>
        <w:t xml:space="preserve"> </w:t>
      </w:r>
      <w:r>
        <w:rPr>
          <w:i/>
        </w:rPr>
        <w:t>"Esta métrica responde a la pregunta favorita del CFO: '¿Qué retorno tiene todo esto?'"</w:t>
      </w:r>
    </w:p>
    <w:p>
      <w:pPr>
        <w:pStyle w:val="Heading3"/>
        <w:keepNext/>
        <w:keepLines/>
      </w:pPr>
      <w:r>
        <w:t>Slide 11 — Cómo se Construye el IGM-MSS</w:t>
      </w:r>
    </w:p>
    <w:p>
      <w:r>
        <w:rPr>
          <w:b/>
        </w:rPr>
        <w:t>Visual:</w:t>
      </w:r>
      <w:r>
        <w:t xml:space="preserve"> Diagrama en capas: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CAPA 1: Métricas individuales (MTTD, ACR, MFA, CVEs, etc.)</w:t>
        <w:br/>
        <w:t>CAPA 2: Puntuación PRAGMATIC (peso de cada métrica)</w:t>
        <w:br/>
        <w:t>CAPA 3: Pilares (Gobernanza, Detección, Cumplimiento, Resiliencia, Tecnología)</w:t>
        <w:br/>
        <w:t>CAPA 4: Índice IGM-MSS (0–100)</w:t>
        <w:br/>
      </w:r>
    </w:p>
    <w:p>
      <w:r>
        <w:rPr>
          <w:b/>
        </w:rPr>
        <w:t>Mensaje:</w:t>
      </w:r>
      <w:r>
        <w:t xml:space="preserve"> El índice no es una media arbitraria, sino una agregación ponderada por calidad de métrica.</w:t>
      </w:r>
    </w:p>
    <w:p>
      <w:pPr>
        <w:pStyle w:val="Heading3"/>
        <w:keepNext/>
        <w:keepLines/>
      </w:pPr>
      <w:r>
        <w:t>Slide 12 — Resultados Actuales y Brechas Prioritarias</w:t>
      </w:r>
    </w:p>
    <w:p>
      <w:r>
        <w:rPr>
          <w:b/>
        </w:rPr>
        <w:t>Visual:</w:t>
      </w:r>
    </w:p>
    <w:p>
      <w:pPr>
        <w:pStyle w:val="ListBullet"/>
        <w:keepLines w:val="1"/>
        <w:keepNext w:val="1"/>
        <w:widowControl w:val="1"/>
      </w:pPr>
      <w:r>
        <w:t xml:space="preserve">Gauge con IGM-MSS actual.  </w:t>
      </w:r>
    </w:p>
    <w:p>
      <w:pPr>
        <w:pStyle w:val="ListBullet"/>
        <w:keepLines w:val="1"/>
        <w:keepNext w:val="1"/>
        <w:widowControl w:val="1"/>
      </w:pPr>
      <w:r>
        <w:t xml:space="preserve">Gráfico de barras con pilares y comparación con benchmark.  </w:t>
      </w:r>
    </w:p>
    <w:p>
      <w:pPr>
        <w:pStyle w:val="ListBullet"/>
        <w:keepLines w:val="1"/>
        <w:widowControl w:val="1"/>
      </w:pPr>
      <w:r>
        <w:t>Lista Top 5 brechas con relación explícita a métricas (ej. MTTD demasiado alto, % MFA bajo, ACR insuficiente, etc.).</w:t>
      </w:r>
    </w:p>
    <w:p>
      <w:pPr>
        <w:pStyle w:val="Heading3"/>
        <w:keepNext/>
        <w:keepLines/>
      </w:pPr>
      <w:r>
        <w:t>Slide 13 — Hoja de Ruta: Mejorar Métricas es Mejorar la Organización</w:t>
      </w:r>
    </w:p>
    <w:p>
      <w:r>
        <w:rPr>
          <w:b/>
        </w:rPr>
        <w:t>Visual:</w:t>
      </w:r>
      <w:r>
        <w:t xml:space="preserve"> Roadmap 12–24 meses.</w:t>
      </w:r>
    </w:p>
    <w:p>
      <w:r>
        <w:t>Para cada línea de acción:</w:t>
      </w:r>
    </w:p>
    <w:p>
      <w:pPr>
        <w:pStyle w:val="ListBullet"/>
        <w:keepLines w:val="1"/>
        <w:keepNext w:val="1"/>
        <w:widowControl w:val="1"/>
      </w:pPr>
      <w:r>
        <w:t>Métrica objetivo (ej. MTTD, % MFA, tiempo remediación CVEs).</w:t>
      </w:r>
    </w:p>
    <w:p>
      <w:pPr>
        <w:pStyle w:val="ListBullet"/>
        <w:keepLines w:val="1"/>
        <w:keepNext w:val="1"/>
        <w:widowControl w:val="1"/>
      </w:pPr>
      <w:r>
        <w:t xml:space="preserve">Valor actual → valor objetivo.  </w:t>
      </w:r>
    </w:p>
    <w:p>
      <w:pPr>
        <w:pStyle w:val="ListBullet"/>
        <w:keepLines w:val="1"/>
        <w:keepNext w:val="1"/>
        <w:widowControl w:val="1"/>
      </w:pPr>
      <w:r>
        <w:t xml:space="preserve">Acciones para cerrar brecha.  </w:t>
      </w:r>
    </w:p>
    <w:p>
      <w:pPr>
        <w:pStyle w:val="ListBullet"/>
        <w:keepLines w:val="1"/>
        <w:widowControl w:val="1"/>
      </w:pPr>
      <w:r>
        <w:t>Relación con normativa (NIS2/ENS/DORA).</w:t>
      </w:r>
    </w:p>
    <w:p>
      <w:pPr>
        <w:pStyle w:val="Heading3"/>
        <w:keepNext/>
        <w:keepLines/>
      </w:pPr>
      <w:r>
        <w:t>Slide 14 — Decisiones que Solicitamos Hoy</w:t>
      </w:r>
    </w:p>
    <w:p>
      <w:r>
        <w:t>Estructurada en 3 bloques:</w:t>
      </w:r>
    </w:p>
    <w:p>
      <w:pPr>
        <w:pStyle w:val="ListNumber"/>
        <w:keepLines w:val="1"/>
        <w:keepNext w:val="1"/>
        <w:widowControl w:val="1"/>
      </w:pPr>
      <w:r>
        <w:t xml:space="preserve">Inversión (basada en ROSI y ALE).  </w:t>
      </w:r>
    </w:p>
    <w:p>
      <w:pPr>
        <w:pStyle w:val="ListNumber"/>
        <w:keepLines w:val="1"/>
        <w:keepNext w:val="1"/>
        <w:widowControl w:val="1"/>
      </w:pPr>
      <w:r>
        <w:t xml:space="preserve">Cambios contractuales MSS (incorporar métricas al SLA).  </w:t>
      </w:r>
    </w:p>
    <w:p>
      <w:pPr>
        <w:pStyle w:val="ListNumber"/>
        <w:keepLines w:val="1"/>
        <w:widowControl w:val="1"/>
      </w:pPr>
      <w:r>
        <w:t>Cambios organizativos (formación, procesos, recursos).</w:t>
      </w:r>
    </w:p>
    <w:p>
      <w:r>
        <w:t>Cada decisión se ancla explícitamente en una métrica GQM + PRAGMATIC.</w:t>
      </w:r>
    </w:p>
    <w:p>
      <w:pPr>
        <w:pStyle w:val="Heading2"/>
        <w:keepNext/>
        <w:keepLines/>
      </w:pPr>
      <w:r>
        <w:rPr>
          <w:color w:val="0066CC"/>
        </w:rPr>
        <w:t>3. APÉNDICES PARA AUDIENCIAS TÉCNICAS</w:t>
      </w:r>
    </w:p>
    <w:p>
      <w:pPr>
        <w:pStyle w:val="ListBullet"/>
        <w:keepLines w:val="1"/>
        <w:keepNext w:val="1"/>
        <w:widowControl w:val="1"/>
      </w:pPr>
      <w:r>
        <w:t xml:space="preserve">Apéndice A: Tabla completa GQM (Goals–Questions–Metrics) por dominio (Gobernanza, Detección, Cumplimiento, etc.).  </w:t>
      </w:r>
    </w:p>
    <w:p>
      <w:pPr>
        <w:pStyle w:val="ListBullet"/>
        <w:keepLines w:val="1"/>
        <w:keepNext w:val="1"/>
        <w:widowControl w:val="1"/>
      </w:pPr>
      <w:r>
        <w:t xml:space="preserve">Apéndice B: Matriz PRAGMATIC completa para todas las métricas candidatas.  </w:t>
      </w:r>
    </w:p>
    <w:p>
      <w:pPr>
        <w:pStyle w:val="ListBullet"/>
        <w:keepLines w:val="1"/>
        <w:keepNext w:val="1"/>
        <w:widowControl w:val="1"/>
      </w:pPr>
      <w:r>
        <w:t xml:space="preserve">Apéndice C: Mapeo GQM–Normativa (NIS2, ENS, DORA).  </w:t>
      </w:r>
    </w:p>
    <w:p>
      <w:pPr>
        <w:pStyle w:val="ListBullet"/>
        <w:keepLines w:val="1"/>
        <w:widowControl w:val="1"/>
      </w:pPr>
      <w:r>
        <w:t xml:space="preserve">Apéndice D: Detalle de la plantilla Excel (estructuras de hojas y fórmulas clave).  </w:t>
      </w:r>
    </w:p>
    <w:p>
      <w:pPr>
        <w:pStyle w:val="Heading2"/>
        <w:keepNext/>
        <w:keepLines/>
      </w:pPr>
      <w:r>
        <w:rPr>
          <w:color w:val="0066CC"/>
        </w:rPr>
        <w:t>4. RECOMENDACIONES DE DISEÑO GRÁFICO</w:t>
      </w:r>
    </w:p>
    <w:p>
      <w:pPr>
        <w:pStyle w:val="ListBullet"/>
        <w:keepLines w:val="1"/>
        <w:keepNext w:val="1"/>
        <w:widowControl w:val="1"/>
      </w:pPr>
      <w:r>
        <w:t xml:space="preserve">Colores: reaprovechar paleta del kit MSS previo (azules, verdes para fortalezas, ámbar/rojos para brechas).  </w:t>
      </w:r>
    </w:p>
    <w:p>
      <w:pPr>
        <w:pStyle w:val="ListBullet"/>
        <w:keepLines w:val="1"/>
        <w:keepNext w:val="1"/>
        <w:widowControl w:val="1"/>
      </w:pPr>
      <w:r>
        <w:t xml:space="preserve">Tipografía: Inter / Calibri, títulos ≥28 pt, cuerpo 16–18 pt, cifras clave 40–50 pt.  </w:t>
      </w:r>
    </w:p>
    <w:p>
      <w:pPr>
        <w:pStyle w:val="ListBullet"/>
        <w:keepLines w:val="1"/>
        <w:widowControl w:val="1"/>
      </w:pPr>
      <w:r>
        <w:t>Regla de oro: máximo 3 ideas por slide, máximo 1 gráfico complejo.</w:t>
      </w:r>
    </w:p>
    <w:p>
      <w:r>
        <w:rPr>
          <w:i/>
        </w:rPr>
        <w:t>Plantilla de Reporte Ejecutivo GQM + PRAGMATIC — 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