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🗺️ MAPEO GQM + PREGUNTAS + NORMATIVA</w:t>
      </w:r>
    </w:p>
    <w:p>
      <w:pPr>
        <w:pStyle w:val="Heading2"/>
        <w:keepNext/>
        <w:keepLines/>
      </w:pPr>
      <w:r>
        <w:rPr>
          <w:color w:val="0066CC"/>
        </w:rPr>
        <w:t>Correspondencia entre Objetivos, Preguntas GQM, Métricas e Instrumentos Regulatorios</w:t>
      </w:r>
    </w:p>
    <w:p>
      <w:pPr>
        <w:pStyle w:val="Heading4"/>
        <w:keepNext/>
        <w:keepLines/>
      </w:pPr>
      <w:r>
        <w:t>Versión 1.0 — Abril 2026</w:t>
      </w:r>
    </w:p>
    <w:p>
      <w:r>
        <w:rPr>
          <w:i/>
        </w:rPr>
        <w:t>"Cada métrica que no sepa justificar qué objetivo persigue, qué pregunta responde y qué artículo de qué norma ayuda a cumplir, sabe demasiado poco de sí misma para seguir viva."</w:t>
      </w:r>
    </w:p>
    <w:p>
      <w:pPr>
        <w:pStyle w:val="Heading2"/>
        <w:keepNext/>
        <w:keepLines/>
      </w:pPr>
      <w:r>
        <w:rPr>
          <w:color w:val="0066CC"/>
        </w:rPr>
        <w:t>1. ESTRUCTURA DEL MAPEO</w:t>
      </w:r>
    </w:p>
    <w:p>
      <w:r>
        <w:t>Esta tabla enlaza:</w:t>
      </w:r>
    </w:p>
    <w:p>
      <w:pPr>
        <w:pStyle w:val="ListBullet"/>
        <w:keepLines w:val="1"/>
        <w:keepNext w:val="1"/>
        <w:widowControl w:val="1"/>
      </w:pPr>
      <w:r>
        <w:t xml:space="preserve">Objetivos GQM (Goals): Estratégicos (G0.x) y específicos por dominio (G-DRx, G-CVx, G-GOVx, G-FINx, G-EMx).  </w:t>
      </w:r>
    </w:p>
    <w:p>
      <w:pPr>
        <w:pStyle w:val="ListBullet"/>
        <w:keepLines w:val="1"/>
        <w:keepNext w:val="1"/>
        <w:widowControl w:val="1"/>
      </w:pPr>
      <w:r>
        <w:t xml:space="preserve">Preguntas GQM (Questions): Preguntas operativas que concretan el objetivo.  </w:t>
      </w:r>
    </w:p>
    <w:p>
      <w:pPr>
        <w:pStyle w:val="ListBullet"/>
        <w:keepLines w:val="1"/>
        <w:keepNext w:val="1"/>
        <w:widowControl w:val="1"/>
      </w:pPr>
      <w:r>
        <w:t xml:space="preserve">Métricas (Metrics): Indicadores concretos.  </w:t>
      </w:r>
    </w:p>
    <w:p>
      <w:pPr>
        <w:pStyle w:val="ListBullet"/>
        <w:keepLines w:val="1"/>
        <w:keepNext w:val="1"/>
        <w:widowControl w:val="1"/>
      </w:pPr>
      <w:r>
        <w:t xml:space="preserve">Normativa asociada: NIS2, ENS, DORA, ISO 27001:2022, NIST CSF 2.0.  </w:t>
      </w:r>
    </w:p>
    <w:p>
      <w:pPr>
        <w:pStyle w:val="ListBullet"/>
        <w:keepLines w:val="1"/>
        <w:widowControl w:val="1"/>
      </w:pPr>
      <w:r>
        <w:t xml:space="preserve">Preguntas de la Encuesta MSS: Ítems que recogen la existencia/uso de esa métrica.  </w:t>
      </w:r>
    </w:p>
    <w:p>
      <w:pPr>
        <w:pStyle w:val="Heading2"/>
        <w:keepNext/>
        <w:keepLines/>
      </w:pPr>
      <w:r>
        <w:rPr>
          <w:color w:val="0066CC"/>
        </w:rPr>
        <w:t>2. TABLA PRINCIPAL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cantSplit w:val="1"/>
        </w:trPr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Goal (GQM)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 (GQM)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Metric (M)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Pregunta(s) Encuesta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Ley Gobernanza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(RD 311/2022)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27001:2022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clave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G-DR1: Reducir el tiempo de detección de incidentes críticos hasta niveles compatibles con la ventana NIS2 (24h) y con la velocidad de los atacantes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Q-DR1.1: ¿En cuánto tiempo se detectan los incidentes críticos desde el inicio de la actividad maliciosa?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MTTD medio (min/h) incidentes ALTA/CRÍTICA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P3.1, P3.2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 b) (gestión de incidentes); Art. 23 (notificación en 24h)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op.exp.3 (detección y gestión de incidentes)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11.1 (detección precoz de incidentes TIC)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A.8.16 (monitorización de actividades); A.5.26 (gestión de incidentes)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DE.CM-01, DE.CM-08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Sin MTTD medido y aceptable es prácticamente imposible cumplir NIS2 Art. 23 en la práctica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G-DR1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Q-DR1.2: ¿Cuál es la tendencia del MTTD en los últimos 12 meses?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Tendencia MTTD (Δ% YoY)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P3.2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21.1 (mejora continua)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org.4 (revisión de eficacia de medidas)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6.5 (marco de riesgos dinámico)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Cl. 9.3 (revisión por la dirección)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ID.IM-01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La tendencia es tan importante como el valor absoluto para juzgar madurez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G-DR2: Limitar el impacto de incidentes reduciendo el tiempo de contención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Q-DR2.1: ¿Cuánto tiempo transcurre entre la detección y la contención efectiva?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MTTC medio (min/h)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P3.3, P3.4 (indirectamente)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 b) NIS2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op.exp.3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11.2 DORA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A.5.26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RS.MA-01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Métrica crítica para controlar el "blast radius" de ransomware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G-DR2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Q-DR2.2: ¿Qué % de incidentes se contiene dentro del SLA?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 incidentes contenidos &lt; SLA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P2.5, P2.6 (SLA); P3.4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30.2 g) DORA (SLAs con indicadores)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30 (cláusulas contractuales)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A.5.20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GV.SC-10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Conecta calidad MSS con obligaciones de terceros en DORA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G-DR3: Minimizar el tiempo de recuperación segura tras incidentes severos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Q-DR3.1: ¿Cuál es el MTTR medio de incidentes críticos?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MTTR medio (h/días)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P3.3, P3.4; P5.3 (RTO)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 c) NIS2 (continuidad y recuperación)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op.cont.1 (continuidad de la actividad)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11.3 DORA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A.5.29, A.5.30 (continuidad)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RC.RP-01, RC.RP-03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El MTTR debe estar alineado con RTO/RPO para que el BCP sea realista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G-DR3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Q-DR3.2: ¿Qué % de incidentes cumple el RTO definido?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 incidentes dentro de RTO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P5.3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 c) NIS2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op.cont.1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11.3 DORA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A.5.30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RC.RP-03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Métrica puente entre seguridad y continuidad de negocio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G-DR4: Reducir la fatiga de analistas y el riesgo de incidentes pasados por alto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Q-DR4.1: ¿Qué % de alertas son falsos positivos?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False Positive Rate (FPR)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P3.5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 a) NIS2 (eficacia de medidas)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op.mon.1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11.6 DORA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A.8.16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DE.AE-04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Alta FPR afecta indirectamente al cumplimiento (incidentes no investigados)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G-CV1: Minimizar superficie de ataque no monitorizada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Q-CV1.1: ¿Qué % de activos críticos están monitorizados?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ACR global y por criticidad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P3.6, P6.5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 a) NIS2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op.pl.1 (inventario), op.mon.1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8.1 DORA (registro de activos TIC)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A.5.9 (inventario)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ID.AM-01, ID.AM-02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ACR &lt;80% implica altos niveles de "shadow IT" y brechas estructurales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G-CV2: Reducir exposición a vulnerabilidades críticas explotables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Q-CV2.1: ¿Cuál es el tiempo medio de remediación de CVEs críticas?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Tiempo medio de remediación (días) CVSS≥9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P3.7, P3.8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 b) NIS2 (gestión de vulnerabilidades)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op.exp.2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9.4 DORA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A.8.8 (gestión de vulnerabilidades)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ID.RA-05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Métrica directamente requerida por NIS2: gestión de vulnerabilidades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G-CV2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Q-CV2.2: ¿Qué % de CVEs críticas permanece abierto &gt;30 días?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 CVEs críticas &gt;30d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P3.8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 b) NIS2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op.exp.2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9.4 DORA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PR.PS-02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Conecta gestión de vulnerabilidades con listas KEV de CISA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G-GOV1: Garantizar autenticación fuerte en accesos relevantes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Q-GOV1.1: ¿Qué % de cuentas tiene MFA obligatorio?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 cuentas con MFA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P6.3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 j) NIS2 (MFA explícito); Art. 21.2 a)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op.acc.5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9.4 b) DORA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A.8.5 (autenticación segura)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PR.AA-03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NIS2 menciona explícitamente la MFA como control obligatorio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G-GOV1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Q-GOV1.2: ¿Qué flujos críticos carecen de MFA?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Nº flujos sin MFA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P6.3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 j) NIS2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op.acc.1–5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9.4 DORA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A.8.2–A.8.6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PR.AA-01–05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Ayuda a priorizar proyectos de implantación MFA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G-GOV2: Asegurar cumplimiento ENS en sistemas AAPP/proveedores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Q-GOV2.1: ¿Cuál es el estado de certificación/adecuación ENS?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Compliance score ENS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P4.1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ENS RD 311/2022 (todo el articulado)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mp.org, op.* según categoría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ISO 27001 equivalente parcial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ENS condiciona contratación pública y elegibilidad para proyectos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G-GOV3: Prepararse para NIS2 / Ley Gobernanza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Q-GOV3.1: ¿Se ha realizado análisis de brechas NIS2?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Estado de preparación NIS2 (categórico)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P4.2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Directiva NIS2 completa; Anteproyecto español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GV.PO-02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Indicador de madurez regulatoria; sin análisis hay ceguera normativa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G-COMP1: Cumplir plazos de notificación NIS2/DORA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Q-COMP1.1: ¿Existen procesos que aseguren notificación 24h/72h/1 mes?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Procedimiento documentado (S/N) y % de incidentes notificados en plazo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P4.3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23 NIS2 (24h/72h/1 mes); Art. 19 DORA (plazos notificación financiera)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op.exp.7 (notificación)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19 DORA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A.5.24 (plan de respuesta a incidentes)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RS.CO-02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Los plazos de notificación son exigibles; fallo repetido expone a sanción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G-RISK1: Gestionar el riesgo de proveedores y cadena de suministro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Q-RISK1.1: ¿Cuántos proveedores críticos cuentan con evaluación de seguridad formal?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 proveedores críticos evaluados (TPRM coverage)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P4.7, P2.3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21.1 d) y 21.3 NIS2 (supply chain)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op.ext.1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28-30 DORA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A.5.19–A.5.22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GV.SC-01–10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La falta de TPRM estructurado es una de las brechas más graves bajo NIS2/DORA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G-FIN1: Justificar inversión en MSS por reducción de riesgo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Q-FIN1.1: ¿Cuál es la ALE sin controles MSS?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ALE_sin_controles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P9.1, P9.4; Hoja 4 Excel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21.1 a) NIS2 (análisis de riesgo)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mp.inf.1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6.1 DORA (marco de riesgo)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Cl. 6.1.2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ID.RA-01–09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Marco actuarial recomendado por CAS/ISO 27005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G-FIN1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Q-FIN1.2: ¿Cuál es la ALE con controles MSS?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ALE_con_controles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P9.1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21.1 a) NIS2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mp.inf.1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6.5 DORA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Cl. 6.1.3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ID.RA-09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Permite cuantificar pérdidas evitadas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G-FIN1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Q-FIN1.3: ¿Cuál es el ROSI de MSS?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ROSI (%) y Payback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P9.4; Hoja 4 Excel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21.1 (medidas proporcionadas)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17 DORA (recursos adecuados)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Cl. 6.1.3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GV.OV-05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Traductor directo al lenguaje del CFO/Consejo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G-RES1: Garantizar continuidad de negocio ante ciberincidentes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Q-RES1.1: ¿Existe un BCP con escenarios ciber probados?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Existencia y estado BCP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P5.1, P5.2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 c) NIS2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op.cont.1–3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11 DORA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A.5.29, A.5.30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RC.RP-01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BCP sin escenarios ciber = brecha típica en auditorías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G-CTI1: Integrar inteligencia de amenazas en detección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Q-CTI1.1: ¿Se consume e integra CTI de forma sistemática?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Nivel de integración CTI (categórico)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P8.1, P8.2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21.2 f) NIS2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op.mon.5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Art. 11.5 DORA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A.5.7 (inteligencia de amenazas)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DE.AE-02, ID.RA-02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NIS2 menciona cadena de suministro y amenazas; CTI es puente lógico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</w:pPr>
            <w:r>
              <w:t>G-EM1: Preparar transición a criptografía postcuántica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Q-EM1.1: ¿Qué % de sistemas son criptográficamente ágiles?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Crypto-Agility Score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P10.1, P10.2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Art. 21 (gestión de riesgos emergentes)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mp.com.2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Art. 9 DORA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A.8.24 (uso de criptografía)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PR.DS-01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Pendiente de explicitación en futuras guías ENISA/NIS, pero ya presente en tendencias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USO DEL MAPEO EN DISEÑO DE SLAs Y AUDITORÍAS</w:t>
      </w:r>
    </w:p>
    <w:p>
      <w:pPr>
        <w:pStyle w:val="ListNumber"/>
        <w:keepLines w:val="1"/>
        <w:keepNext w:val="1"/>
        <w:widowControl w:val="1"/>
      </w:pPr>
      <w:r>
        <w:t>Diseño de SLAs MSS:</w:t>
      </w:r>
    </w:p>
    <w:p>
      <w:pPr>
        <w:pStyle w:val="ListNumber"/>
        <w:keepLines w:val="1"/>
        <w:keepNext w:val="1"/>
        <w:widowControl w:val="1"/>
      </w:pPr>
      <w:r>
        <w:t xml:space="preserve">Incorporar explícitamente métricas GQM alineadas a artículos concretos de NIS2/DORA (ej. MTTD/MTTR ↔ Art. 23 NIS2, Art. 11 DORA).  </w:t>
      </w:r>
    </w:p>
    <w:p>
      <w:pPr>
        <w:pStyle w:val="ListNumber"/>
        <w:keepLines w:val="1"/>
        <w:keepNext w:val="1"/>
        <w:widowControl w:val="1"/>
      </w:pPr>
      <w:r>
        <w:br/>
        <w:t>Referenciar en el SLA el artículo normativo que la métrica contribuye a satisfacer ("esta métrica apoya el cumplimiento de...").</w:t>
        <w:br/>
      </w:r>
    </w:p>
    <w:p>
      <w:pPr>
        <w:pStyle w:val="ListNumber"/>
        <w:keepLines w:val="1"/>
        <w:keepNext w:val="1"/>
        <w:widowControl w:val="1"/>
      </w:pPr>
      <w:r>
        <w:br/>
        <w:t>Preparación de auditorías ENS/NIS2:</w:t>
        <w:br/>
      </w:r>
    </w:p>
    <w:p>
      <w:pPr>
        <w:pStyle w:val="ListNumber"/>
        <w:keepLines w:val="1"/>
        <w:keepNext w:val="1"/>
        <w:widowControl w:val="1"/>
      </w:pPr>
      <w:r>
        <w:br/>
        <w:t>Utilizar la tabla para demostrar trazabilidad: cada hallazgo mejora una métrica que a su vez responde a un objetivo regulatorio.</w:t>
        <w:br/>
      </w:r>
    </w:p>
    <w:p>
      <w:pPr>
        <w:pStyle w:val="ListNumber"/>
        <w:keepLines w:val="1"/>
        <w:keepNext w:val="1"/>
        <w:widowControl w:val="1"/>
      </w:pPr>
      <w:r>
        <w:br/>
        <w:t>Justificación ante el Consejo:</w:t>
        <w:br/>
      </w:r>
    </w:p>
    <w:p>
      <w:pPr>
        <w:pStyle w:val="ListNumber"/>
        <w:keepLines w:val="1"/>
        <w:widowControl w:val="1"/>
      </w:pPr>
      <w:r>
        <w:t xml:space="preserve">Traducir cualquier petición de inversión o cambio en contrato MSS a la forma:  </w:t>
        <w:br/>
        <w:t>Objetivo regulatorio → Objetivo GQM → Pregunta → Métrica → Brecha → Acción → Coste → ROSI.</w:t>
        <w:br/>
        <w:br/>
      </w:r>
    </w:p>
    <w:p>
      <w:r>
        <w:t>Referenciar en el SLA el artículo normativo que la métrica contribuye a satisfacer ("esta métrica apoya el cumplimiento de...").</w:t>
      </w:r>
    </w:p>
    <w:p>
      <w:r>
        <w:rPr>
          <w:b/>
        </w:rPr>
        <w:t>Preparación de auditorías ENS/NIS2:</w:t>
      </w:r>
    </w:p>
    <w:p>
      <w:r>
        <w:t>Utilizar la tabla para demostrar trazabilidad: cada hallazgo mejora una métrica que a su vez responde a un objetivo regulatorio.</w:t>
      </w:r>
    </w:p>
    <w:p>
      <w:r>
        <w:rPr>
          <w:b/>
        </w:rPr>
        <w:t>Justificación ante el Consejo:</w:t>
      </w:r>
    </w:p>
    <w:p>
      <w:pPr>
        <w:pStyle w:val="ListBullet"/>
        <w:keepLines w:val="1"/>
        <w:widowControl w:val="1"/>
      </w:pPr>
      <w:r>
        <w:t>Objetivo regulatorio → Objetivo GQM → Pregunta → Métrica → Brecha → Acción → Coste → ROSI.</w:t>
      </w:r>
    </w:p>
    <w:p>
      <w:r>
        <w:rPr>
          <w:i/>
        </w:rPr>
        <w:t>Mapeo GQM + Preguntas + Normativa — Versión 1.0 · Abril 2026</w:t>
      </w:r>
      <w:r/>
      <w:r>
        <w:br/>
      </w:r>
      <w:r>
        <w:rPr>
          <w:i/>
        </w:rPr>
        <w:t>Basado en: Directiva NIS2, ENS RD 311/2022, DORA, ISO/IEC 27001:2022, NIST CSF 2.0, ENISA MSS Market Analysis 2025, ECSMAF V3.0.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